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091FD" w14:textId="77777777" w:rsidR="001120BC" w:rsidRPr="005C0274" w:rsidRDefault="001120BC" w:rsidP="001120BC">
      <w:pPr>
        <w:spacing w:after="0" w:line="240" w:lineRule="auto"/>
        <w:jc w:val="right"/>
        <w:rPr>
          <w:rFonts w:ascii="Times New Roman" w:hAnsi="Times New Roman"/>
          <w:b/>
          <w:sz w:val="24"/>
          <w:szCs w:val="24"/>
        </w:rPr>
      </w:pPr>
      <w:r w:rsidRPr="005C0274">
        <w:rPr>
          <w:rFonts w:ascii="Times New Roman" w:hAnsi="Times New Roman"/>
          <w:bCs/>
          <w:sz w:val="24"/>
          <w:szCs w:val="24"/>
        </w:rPr>
        <w:t>Warszawa, 11 czerwca 2021 r.</w:t>
      </w:r>
    </w:p>
    <w:p w14:paraId="19AD90F9" w14:textId="77777777" w:rsidR="001120BC" w:rsidRPr="005C0274" w:rsidRDefault="001120BC" w:rsidP="001120BC">
      <w:pPr>
        <w:spacing w:after="0" w:line="240" w:lineRule="auto"/>
        <w:rPr>
          <w:rFonts w:ascii="Times New Roman" w:hAnsi="Times New Roman"/>
          <w:b/>
          <w:sz w:val="24"/>
          <w:szCs w:val="24"/>
        </w:rPr>
      </w:pPr>
      <w:r w:rsidRPr="005C0274">
        <w:rPr>
          <w:rFonts w:ascii="Times New Roman" w:hAnsi="Times New Roman"/>
          <w:b/>
          <w:sz w:val="24"/>
          <w:szCs w:val="24"/>
        </w:rPr>
        <w:t xml:space="preserve">Prof. Andrzej Górski, </w:t>
      </w:r>
      <w:proofErr w:type="spellStart"/>
      <w:r w:rsidRPr="005C0274">
        <w:rPr>
          <w:rFonts w:ascii="Times New Roman" w:hAnsi="Times New Roman"/>
          <w:b/>
          <w:sz w:val="24"/>
          <w:szCs w:val="24"/>
        </w:rPr>
        <w:t>czł</w:t>
      </w:r>
      <w:proofErr w:type="spellEnd"/>
      <w:r>
        <w:rPr>
          <w:rFonts w:ascii="Times New Roman" w:hAnsi="Times New Roman"/>
          <w:b/>
          <w:sz w:val="24"/>
          <w:szCs w:val="24"/>
        </w:rPr>
        <w:t>.</w:t>
      </w:r>
      <w:r w:rsidRPr="005C0274">
        <w:rPr>
          <w:rFonts w:ascii="Times New Roman" w:hAnsi="Times New Roman"/>
          <w:b/>
          <w:sz w:val="24"/>
          <w:szCs w:val="24"/>
        </w:rPr>
        <w:t xml:space="preserve"> rzecz. PAN</w:t>
      </w:r>
    </w:p>
    <w:p w14:paraId="329F4FE3" w14:textId="77777777" w:rsidR="001120BC" w:rsidRPr="005C0274" w:rsidRDefault="001120BC" w:rsidP="001120BC">
      <w:pPr>
        <w:spacing w:after="0" w:line="240" w:lineRule="auto"/>
        <w:rPr>
          <w:rFonts w:ascii="Times New Roman" w:hAnsi="Times New Roman"/>
          <w:sz w:val="24"/>
          <w:szCs w:val="24"/>
        </w:rPr>
      </w:pPr>
      <w:r w:rsidRPr="005C0274">
        <w:rPr>
          <w:rFonts w:ascii="Times New Roman" w:hAnsi="Times New Roman"/>
          <w:sz w:val="24"/>
          <w:szCs w:val="24"/>
        </w:rPr>
        <w:t xml:space="preserve">Przewodniczący Komisji do Spraw Etyki w Nauce </w:t>
      </w:r>
    </w:p>
    <w:p w14:paraId="24C8907B" w14:textId="77777777" w:rsidR="001120BC" w:rsidRPr="005C0274" w:rsidRDefault="001120BC" w:rsidP="001120BC">
      <w:pPr>
        <w:spacing w:before="240" w:after="0" w:line="240" w:lineRule="auto"/>
        <w:rPr>
          <w:rFonts w:ascii="Times New Roman" w:hAnsi="Times New Roman"/>
          <w:b/>
          <w:sz w:val="24"/>
          <w:szCs w:val="24"/>
        </w:rPr>
      </w:pPr>
      <w:r w:rsidRPr="005C0274">
        <w:rPr>
          <w:rFonts w:ascii="Times New Roman" w:hAnsi="Times New Roman"/>
          <w:b/>
          <w:sz w:val="24"/>
          <w:szCs w:val="24"/>
        </w:rPr>
        <w:t>Mieczysław Grabianowski</w:t>
      </w:r>
    </w:p>
    <w:p w14:paraId="3D5B906E" w14:textId="77777777" w:rsidR="001120BC" w:rsidRPr="005C0274" w:rsidRDefault="001120BC" w:rsidP="001120BC">
      <w:pPr>
        <w:spacing w:after="0" w:line="240" w:lineRule="auto"/>
        <w:rPr>
          <w:rFonts w:ascii="Times New Roman" w:hAnsi="Times New Roman"/>
          <w:bCs/>
          <w:sz w:val="24"/>
          <w:szCs w:val="24"/>
        </w:rPr>
      </w:pPr>
      <w:r w:rsidRPr="005C0274">
        <w:rPr>
          <w:rFonts w:ascii="Times New Roman" w:hAnsi="Times New Roman"/>
          <w:bCs/>
          <w:sz w:val="24"/>
          <w:szCs w:val="24"/>
        </w:rPr>
        <w:t>Dyrektor Gabinetu Prezesa PAN</w:t>
      </w:r>
    </w:p>
    <w:p w14:paraId="7CC0AC51" w14:textId="77777777" w:rsidR="001120BC" w:rsidRPr="005C0274" w:rsidRDefault="001120BC" w:rsidP="001120BC">
      <w:pPr>
        <w:spacing w:line="360" w:lineRule="auto"/>
        <w:jc w:val="both"/>
        <w:rPr>
          <w:rFonts w:ascii="Times New Roman" w:hAnsi="Times New Roman"/>
          <w:sz w:val="24"/>
          <w:szCs w:val="24"/>
        </w:rPr>
      </w:pPr>
    </w:p>
    <w:p w14:paraId="069F8FE6" w14:textId="77777777" w:rsidR="001120BC" w:rsidRDefault="001120BC" w:rsidP="001120BC">
      <w:pPr>
        <w:spacing w:after="0" w:line="360" w:lineRule="auto"/>
        <w:jc w:val="center"/>
        <w:rPr>
          <w:rFonts w:ascii="Times New Roman" w:hAnsi="Times New Roman"/>
          <w:b/>
          <w:sz w:val="24"/>
          <w:szCs w:val="24"/>
        </w:rPr>
      </w:pPr>
    </w:p>
    <w:p w14:paraId="32601065" w14:textId="77777777" w:rsidR="001120BC" w:rsidRPr="005C0274" w:rsidRDefault="001120BC" w:rsidP="001120BC">
      <w:pPr>
        <w:spacing w:after="0" w:line="360" w:lineRule="auto"/>
        <w:jc w:val="center"/>
        <w:rPr>
          <w:rFonts w:ascii="Times New Roman" w:hAnsi="Times New Roman"/>
          <w:b/>
          <w:sz w:val="24"/>
          <w:szCs w:val="24"/>
        </w:rPr>
      </w:pPr>
      <w:r w:rsidRPr="005C0274">
        <w:rPr>
          <w:rFonts w:ascii="Times New Roman" w:hAnsi="Times New Roman"/>
          <w:b/>
          <w:sz w:val="24"/>
          <w:szCs w:val="24"/>
        </w:rPr>
        <w:t xml:space="preserve">SPRAWOZDANIE </w:t>
      </w:r>
    </w:p>
    <w:p w14:paraId="2A61C21E" w14:textId="77777777" w:rsidR="001120BC" w:rsidRPr="005C0274" w:rsidRDefault="001120BC" w:rsidP="001120BC">
      <w:pPr>
        <w:spacing w:after="0" w:line="360" w:lineRule="auto"/>
        <w:jc w:val="center"/>
        <w:rPr>
          <w:rFonts w:ascii="Times New Roman" w:hAnsi="Times New Roman"/>
          <w:b/>
          <w:sz w:val="24"/>
          <w:szCs w:val="24"/>
        </w:rPr>
      </w:pPr>
      <w:r w:rsidRPr="005C0274">
        <w:rPr>
          <w:rFonts w:ascii="Times New Roman" w:hAnsi="Times New Roman"/>
          <w:b/>
          <w:sz w:val="24"/>
          <w:szCs w:val="24"/>
        </w:rPr>
        <w:t>Z  DZIAŁALNOŚCI KOMISJI DO SPRAW ETYKI W NAUCE</w:t>
      </w:r>
    </w:p>
    <w:p w14:paraId="0360C10F" w14:textId="77777777" w:rsidR="001120BC" w:rsidRPr="005C0274" w:rsidRDefault="001120BC" w:rsidP="001120BC">
      <w:pPr>
        <w:spacing w:after="0" w:line="360" w:lineRule="auto"/>
        <w:jc w:val="center"/>
        <w:rPr>
          <w:rFonts w:ascii="Times New Roman" w:hAnsi="Times New Roman"/>
          <w:b/>
          <w:sz w:val="24"/>
          <w:szCs w:val="24"/>
        </w:rPr>
      </w:pPr>
      <w:r w:rsidRPr="005C0274">
        <w:rPr>
          <w:rFonts w:ascii="Times New Roman" w:hAnsi="Times New Roman"/>
          <w:b/>
          <w:sz w:val="24"/>
          <w:szCs w:val="24"/>
        </w:rPr>
        <w:t>W 2020 ROKU</w:t>
      </w:r>
    </w:p>
    <w:p w14:paraId="31DB0CDB" w14:textId="77777777" w:rsidR="001120BC" w:rsidRPr="005C0274" w:rsidRDefault="001120BC" w:rsidP="001120BC">
      <w:pPr>
        <w:spacing w:after="0" w:line="360" w:lineRule="auto"/>
        <w:jc w:val="both"/>
        <w:rPr>
          <w:rFonts w:ascii="Times New Roman" w:hAnsi="Times New Roman"/>
          <w:b/>
          <w:sz w:val="24"/>
          <w:szCs w:val="24"/>
        </w:rPr>
      </w:pPr>
    </w:p>
    <w:p w14:paraId="3B88EE13" w14:textId="20E5DBE0" w:rsidR="001120BC" w:rsidRPr="005C0274" w:rsidRDefault="001120BC" w:rsidP="001120BC">
      <w:pPr>
        <w:spacing w:after="0" w:line="360" w:lineRule="auto"/>
        <w:jc w:val="both"/>
        <w:rPr>
          <w:rFonts w:ascii="Times New Roman" w:hAnsi="Times New Roman"/>
          <w:sz w:val="24"/>
          <w:szCs w:val="24"/>
          <w:shd w:val="clear" w:color="auto" w:fill="FFFFFF"/>
        </w:rPr>
      </w:pPr>
      <w:r w:rsidRPr="005C0274">
        <w:rPr>
          <w:rFonts w:ascii="Times New Roman" w:eastAsia="Times New Roman" w:hAnsi="Times New Roman"/>
          <w:sz w:val="24"/>
          <w:szCs w:val="24"/>
          <w:lang w:eastAsia="pl-PL"/>
        </w:rPr>
        <w:t>Działalność Komisji do Spraw Etyki w Nauce (</w:t>
      </w:r>
      <w:proofErr w:type="spellStart"/>
      <w:r w:rsidRPr="005C0274">
        <w:rPr>
          <w:rFonts w:ascii="Times New Roman" w:eastAsia="Times New Roman" w:hAnsi="Times New Roman"/>
          <w:sz w:val="24"/>
          <w:szCs w:val="24"/>
          <w:lang w:eastAsia="pl-PL"/>
        </w:rPr>
        <w:t>KEwN</w:t>
      </w:r>
      <w:proofErr w:type="spellEnd"/>
      <w:r w:rsidRPr="005C0274">
        <w:rPr>
          <w:rFonts w:ascii="Times New Roman" w:eastAsia="Times New Roman" w:hAnsi="Times New Roman"/>
          <w:sz w:val="24"/>
          <w:szCs w:val="24"/>
          <w:lang w:eastAsia="pl-PL"/>
        </w:rPr>
        <w:t xml:space="preserve">) w 2020 r. koncentrowała się wokół problemów, które budziły szczególny niepokój całego środowiska naukowego </w:t>
      </w:r>
      <w:r>
        <w:rPr>
          <w:rFonts w:ascii="Times New Roman" w:eastAsia="Times New Roman" w:hAnsi="Times New Roman"/>
          <w:sz w:val="24"/>
          <w:szCs w:val="24"/>
          <w:lang w:eastAsia="pl-PL"/>
        </w:rPr>
        <w:br/>
      </w:r>
      <w:r w:rsidRPr="005C0274">
        <w:rPr>
          <w:rFonts w:ascii="Times New Roman" w:eastAsia="Times New Roman" w:hAnsi="Times New Roman"/>
          <w:sz w:val="24"/>
          <w:szCs w:val="24"/>
          <w:lang w:eastAsia="pl-PL"/>
        </w:rPr>
        <w:t>i akademickiego w Polsce. Ze</w:t>
      </w:r>
      <w:r w:rsidRPr="005C0274">
        <w:rPr>
          <w:rFonts w:ascii="Times New Roman" w:hAnsi="Times New Roman"/>
          <w:sz w:val="24"/>
          <w:szCs w:val="24"/>
        </w:rPr>
        <w:t xml:space="preserve"> względu na panującą sytuację epidemiologiczną większość </w:t>
      </w:r>
      <w:r>
        <w:rPr>
          <w:rFonts w:ascii="Times New Roman" w:hAnsi="Times New Roman"/>
          <w:sz w:val="24"/>
          <w:szCs w:val="24"/>
        </w:rPr>
        <w:br/>
      </w:r>
      <w:r w:rsidRPr="005C0274">
        <w:rPr>
          <w:rFonts w:ascii="Times New Roman" w:hAnsi="Times New Roman"/>
          <w:sz w:val="24"/>
          <w:szCs w:val="24"/>
        </w:rPr>
        <w:t xml:space="preserve">z 8 posiedzeń </w:t>
      </w:r>
      <w:proofErr w:type="spellStart"/>
      <w:r w:rsidRPr="005C0274">
        <w:rPr>
          <w:rFonts w:ascii="Times New Roman" w:hAnsi="Times New Roman"/>
          <w:sz w:val="24"/>
          <w:szCs w:val="24"/>
        </w:rPr>
        <w:t>KEwN</w:t>
      </w:r>
      <w:proofErr w:type="spellEnd"/>
      <w:r w:rsidRPr="005C0274">
        <w:rPr>
          <w:rFonts w:ascii="Times New Roman" w:hAnsi="Times New Roman"/>
          <w:sz w:val="24"/>
          <w:szCs w:val="24"/>
        </w:rPr>
        <w:t xml:space="preserve"> odbywała się trybie zdalnym lub hybrydowym. Komisja analizowała także problemy etyczne wynikające z</w:t>
      </w:r>
      <w:r w:rsidRPr="005C0274">
        <w:rPr>
          <w:rFonts w:ascii="Times New Roman" w:hAnsi="Times New Roman"/>
          <w:sz w:val="24"/>
          <w:szCs w:val="24"/>
          <w:shd w:val="clear" w:color="auto" w:fill="FFFFFF"/>
        </w:rPr>
        <w:t xml:space="preserve"> pracy jednostek naukowych i uczelni w trybie zdalnym w związku z </w:t>
      </w:r>
      <w:r w:rsidRPr="005C0274">
        <w:rPr>
          <w:rFonts w:ascii="Times New Roman" w:hAnsi="Times New Roman"/>
          <w:sz w:val="24"/>
          <w:szCs w:val="24"/>
        </w:rPr>
        <w:t xml:space="preserve">COVID-19. </w:t>
      </w:r>
    </w:p>
    <w:p w14:paraId="0F221171" w14:textId="27B9EFED"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Członkowie Komisji zwracali uwagę, że taka forma pracy naukowców może powodować problem z oceną produktywności naukowców pracujących wyłącznie w ten sposób </w:t>
      </w:r>
      <w:r>
        <w:rPr>
          <w:rFonts w:ascii="Times New Roman" w:hAnsi="Times New Roman"/>
          <w:sz w:val="24"/>
          <w:szCs w:val="24"/>
        </w:rPr>
        <w:br/>
      </w:r>
      <w:r w:rsidRPr="005C0274">
        <w:rPr>
          <w:rFonts w:ascii="Times New Roman" w:hAnsi="Times New Roman"/>
          <w:sz w:val="24"/>
          <w:szCs w:val="24"/>
        </w:rPr>
        <w:t xml:space="preserve">(np. w biomedycynie, w naukach doświadczalnych i medycznych). Rozważano czy jest etyczne, aby każdy pracownik naukowy (np. instytutu, który prowadzi badania </w:t>
      </w:r>
      <w:r>
        <w:rPr>
          <w:rFonts w:ascii="Times New Roman" w:hAnsi="Times New Roman"/>
          <w:sz w:val="24"/>
          <w:szCs w:val="24"/>
        </w:rPr>
        <w:br/>
      </w:r>
      <w:r w:rsidRPr="005C0274">
        <w:rPr>
          <w:rFonts w:ascii="Times New Roman" w:hAnsi="Times New Roman"/>
          <w:sz w:val="24"/>
          <w:szCs w:val="24"/>
        </w:rPr>
        <w:t xml:space="preserve">w biomedycynie), który wystąpi o zgodę miał prawo ją otrzymać. Komisja zastanawiała się też nad wpływem pracy zdalnej na funkcjonowanie uczelni. Podkreślono, iż do prawidłowego procesu kształcenia absolwenta konieczny jest kontakt ucznia z mistrzem oraz całym środowiskiem naukowym. Wyrażano również obawę, że dydaktyka prowadzona w formie zdalnej może się wiązać z potencjalnym naruszeniem praw autorskich. Po posiedzeniu w dniu 11 maja 2020 r. Komisja do Spraw Etyki w Nauce wydała oświadczenie, w którym zwróciła uwagę, że w związku z rozwijającą się pandemią wirusa SARS-COV-2: „Pojawiło się jednak szereg nieprawidłowości, które zagrażają wiarygodności wyników prowadzonych badań </w:t>
      </w:r>
      <w:r>
        <w:rPr>
          <w:rFonts w:ascii="Times New Roman" w:hAnsi="Times New Roman"/>
          <w:sz w:val="24"/>
          <w:szCs w:val="24"/>
        </w:rPr>
        <w:br/>
      </w:r>
      <w:r w:rsidRPr="005C0274">
        <w:rPr>
          <w:rFonts w:ascii="Times New Roman" w:hAnsi="Times New Roman"/>
          <w:sz w:val="24"/>
          <w:szCs w:val="24"/>
        </w:rPr>
        <w:t>i prawidłowości w finansowaniu nauki. Realizacja badań naukowych stała się utrudniona, zaś –</w:t>
      </w:r>
      <w:r w:rsidR="0052323F">
        <w:rPr>
          <w:rFonts w:ascii="Times New Roman" w:hAnsi="Times New Roman"/>
          <w:sz w:val="24"/>
          <w:szCs w:val="24"/>
        </w:rPr>
        <w:t xml:space="preserve"> </w:t>
      </w:r>
      <w:r w:rsidRPr="005C0274">
        <w:rPr>
          <w:rFonts w:ascii="Times New Roman" w:hAnsi="Times New Roman"/>
          <w:sz w:val="24"/>
          <w:szCs w:val="24"/>
        </w:rPr>
        <w:t xml:space="preserve"> jak biją na alarm czołowe periodyki naukowe </w:t>
      </w:r>
      <w:r w:rsidR="0052323F" w:rsidRPr="005C0274">
        <w:rPr>
          <w:rFonts w:ascii="Times New Roman" w:hAnsi="Times New Roman"/>
          <w:sz w:val="24"/>
          <w:szCs w:val="24"/>
        </w:rPr>
        <w:t>–</w:t>
      </w:r>
      <w:r w:rsidRPr="005C0274">
        <w:rPr>
          <w:rFonts w:ascii="Times New Roman" w:hAnsi="Times New Roman"/>
          <w:sz w:val="24"/>
          <w:szCs w:val="24"/>
        </w:rPr>
        <w:t xml:space="preserve"> badania nad lekami nie dotyczącymi</w:t>
      </w:r>
      <w:r w:rsidR="0052323F">
        <w:rPr>
          <w:rFonts w:ascii="Times New Roman" w:hAnsi="Times New Roman"/>
          <w:sz w:val="24"/>
          <w:szCs w:val="24"/>
        </w:rPr>
        <w:br/>
      </w:r>
      <w:r w:rsidRPr="005C0274">
        <w:rPr>
          <w:rFonts w:ascii="Times New Roman" w:hAnsi="Times New Roman"/>
          <w:sz w:val="24"/>
          <w:szCs w:val="24"/>
        </w:rPr>
        <w:t xml:space="preserve"> COVID-19 są zagrożone, bowiem większość potencjału naukowego jest obecnie skierowana na badania nad diagnostyką, leczeniem i zapobieganiem COVID-19”</w:t>
      </w:r>
      <w:r>
        <w:rPr>
          <w:rFonts w:ascii="Times New Roman" w:hAnsi="Times New Roman"/>
          <w:sz w:val="24"/>
          <w:szCs w:val="24"/>
        </w:rPr>
        <w:t>.</w:t>
      </w:r>
      <w:r w:rsidRPr="005C0274">
        <w:rPr>
          <w:rFonts w:ascii="Times New Roman" w:hAnsi="Times New Roman"/>
          <w:sz w:val="24"/>
          <w:szCs w:val="24"/>
        </w:rPr>
        <w:t xml:space="preserve"> Członkowie Komisji zwracali także uwagę, że oczekiwanie społeczne na szybkie wynalezienie leku na COVID-19, </w:t>
      </w:r>
      <w:r w:rsidRPr="005C0274">
        <w:rPr>
          <w:rFonts w:ascii="Times New Roman" w:hAnsi="Times New Roman"/>
          <w:sz w:val="24"/>
          <w:szCs w:val="24"/>
        </w:rPr>
        <w:lastRenderedPageBreak/>
        <w:t xml:space="preserve">wzmagane nie zawsze sprawdzonymi informacjami o rzekomej skuteczności preparatów medycznych stosowanych w leczeniu innych schorzeń „powoduje presję na finansowanie badań nie zawsze dostatecznie uzasadnionych. Skutkuje to również wzrostem cen tych leków oraz ich utrudnionym dostępem dla innych chorych, u których ich stosowanie jest warunkiem skutecznego leczenia. Zdarza się również, że o strategii finansowania i celowości badań nad potencjalnymi lekami anty-COVID-19 informują lekarze, których specjalizacja, dorobek naukowy i doświadczenie kliniczne są odległe od wirusologii. (..) Obecna sytuacja stwarza także zagrożenie dla postępu nauki w pozostałych dziedzinach medycyny, dlatego też preferowane obecnie badania nad SARS-CoV-2 i COVID-19 powinny podlegać ogólnie przyjętym normom merytorycznym i etycznym, jakie obowiązują w działalności naukowej – </w:t>
      </w:r>
      <w:r>
        <w:rPr>
          <w:rFonts w:ascii="Times New Roman" w:hAnsi="Times New Roman"/>
          <w:sz w:val="24"/>
          <w:szCs w:val="24"/>
        </w:rPr>
        <w:br/>
      </w:r>
      <w:r w:rsidRPr="005C0274">
        <w:rPr>
          <w:rFonts w:ascii="Times New Roman" w:hAnsi="Times New Roman"/>
          <w:sz w:val="24"/>
          <w:szCs w:val="24"/>
        </w:rPr>
        <w:t xml:space="preserve">i o których jest mowa m.in. w </w:t>
      </w:r>
      <w:r w:rsidRPr="005C0274">
        <w:rPr>
          <w:rFonts w:ascii="Times New Roman" w:hAnsi="Times New Roman"/>
          <w:i/>
          <w:iCs/>
          <w:sz w:val="24"/>
          <w:szCs w:val="24"/>
        </w:rPr>
        <w:t>Kodeksie Etyki Pracownika Naukowego</w:t>
      </w:r>
      <w:r w:rsidRPr="005C0274">
        <w:rPr>
          <w:rFonts w:ascii="Times New Roman" w:hAnsi="Times New Roman"/>
          <w:sz w:val="24"/>
          <w:szCs w:val="24"/>
        </w:rPr>
        <w:t>. Jak to bowiem stwierdzają autorzy artykułu w renomowanym periodyku  </w:t>
      </w:r>
      <w:r w:rsidRPr="005C0274">
        <w:rPr>
          <w:rStyle w:val="Uwydatnienie"/>
          <w:rFonts w:ascii="Times New Roman" w:hAnsi="Times New Roman"/>
          <w:sz w:val="24"/>
          <w:szCs w:val="24"/>
        </w:rPr>
        <w:t xml:space="preserve">JAMA (16/4/2020): </w:t>
      </w:r>
      <w:r w:rsidRPr="005C0274">
        <w:rPr>
          <w:rFonts w:ascii="Times New Roman" w:hAnsi="Times New Roman"/>
          <w:sz w:val="24"/>
          <w:szCs w:val="24"/>
        </w:rPr>
        <w:t>„Najważniejsze to ochrona wiarygodności prowadzonych badań i zachowanie zaufania społecznego do opinii i</w:t>
      </w:r>
      <w:r w:rsidR="0052323F">
        <w:rPr>
          <w:rFonts w:ascii="Times New Roman" w:hAnsi="Times New Roman"/>
          <w:sz w:val="24"/>
          <w:szCs w:val="24"/>
        </w:rPr>
        <w:t> </w:t>
      </w:r>
      <w:r w:rsidRPr="005C0274">
        <w:rPr>
          <w:rFonts w:ascii="Times New Roman" w:hAnsi="Times New Roman"/>
          <w:sz w:val="24"/>
          <w:szCs w:val="24"/>
        </w:rPr>
        <w:t xml:space="preserve"> decyzji podejmowanych przez agencje naukowe i rządowe”.</w:t>
      </w:r>
    </w:p>
    <w:p w14:paraId="2903DAEB" w14:textId="61640143" w:rsidR="001120BC" w:rsidRPr="005C0274" w:rsidRDefault="001120BC" w:rsidP="001120BC">
      <w:pPr>
        <w:pStyle w:val="Akapitzlist"/>
        <w:spacing w:before="240" w:after="0" w:line="360" w:lineRule="auto"/>
        <w:ind w:left="0"/>
        <w:jc w:val="both"/>
        <w:rPr>
          <w:rFonts w:ascii="Times New Roman" w:hAnsi="Times New Roman"/>
          <w:sz w:val="24"/>
          <w:szCs w:val="24"/>
        </w:rPr>
      </w:pPr>
      <w:r w:rsidRPr="005C0274">
        <w:rPr>
          <w:rFonts w:ascii="Times New Roman" w:hAnsi="Times New Roman"/>
          <w:sz w:val="24"/>
          <w:szCs w:val="24"/>
        </w:rPr>
        <w:t>Kolejną sprawą, która wzbudzała niepokój środowiska naukowego i akademickiego w Polsce i</w:t>
      </w:r>
      <w:r w:rsidR="0052323F">
        <w:rPr>
          <w:rFonts w:ascii="Times New Roman" w:hAnsi="Times New Roman"/>
          <w:sz w:val="24"/>
          <w:szCs w:val="24"/>
        </w:rPr>
        <w:t> </w:t>
      </w:r>
      <w:r w:rsidRPr="005C0274">
        <w:rPr>
          <w:rFonts w:ascii="Times New Roman" w:hAnsi="Times New Roman"/>
          <w:sz w:val="24"/>
          <w:szCs w:val="24"/>
        </w:rPr>
        <w:t xml:space="preserve"> stała się przedmiotem analiz i dyskusji na posiedzeniach Komisji do Spraw Etyki w Nauce była ochrona wolności w podmiotach systemu szkolnictwa wyższego i nauki. Już na początku roku, w związku z prowadzonymi przez Ministerstwo Nauki i Szkolnictwa Wyższego </w:t>
      </w:r>
      <w:proofErr w:type="spellStart"/>
      <w:r w:rsidRPr="005C0274">
        <w:rPr>
          <w:rFonts w:ascii="Times New Roman" w:hAnsi="Times New Roman"/>
          <w:sz w:val="24"/>
          <w:szCs w:val="24"/>
        </w:rPr>
        <w:t>prekonsultacjami</w:t>
      </w:r>
      <w:proofErr w:type="spellEnd"/>
      <w:r w:rsidRPr="005C0274">
        <w:rPr>
          <w:rFonts w:ascii="Times New Roman" w:hAnsi="Times New Roman"/>
          <w:sz w:val="24"/>
          <w:szCs w:val="24"/>
        </w:rPr>
        <w:t xml:space="preserve"> publicznymi w sprawie ewentualnej zmiany ustawy</w:t>
      </w:r>
      <w:r>
        <w:rPr>
          <w:rFonts w:ascii="Times New Roman" w:hAnsi="Times New Roman"/>
          <w:sz w:val="24"/>
          <w:szCs w:val="24"/>
        </w:rPr>
        <w:t xml:space="preserve"> – </w:t>
      </w:r>
      <w:r w:rsidRPr="005C0274">
        <w:rPr>
          <w:rFonts w:ascii="Times New Roman" w:hAnsi="Times New Roman"/>
          <w:sz w:val="24"/>
          <w:szCs w:val="24"/>
        </w:rPr>
        <w:t xml:space="preserve">Prawo o szkolnictwie wyższym i nauce w tym zakresie, Komisja uznała tę inicjatywę legislacyjną za </w:t>
      </w:r>
      <w:r w:rsidR="0052323F">
        <w:rPr>
          <w:rFonts w:ascii="Times New Roman" w:hAnsi="Times New Roman"/>
          <w:sz w:val="24"/>
          <w:szCs w:val="24"/>
        </w:rPr>
        <w:br/>
      </w:r>
      <w:r w:rsidRPr="005C0274">
        <w:rPr>
          <w:rFonts w:ascii="Times New Roman" w:hAnsi="Times New Roman"/>
          <w:sz w:val="24"/>
          <w:szCs w:val="24"/>
        </w:rPr>
        <w:t>nieuzasadnioną, uważając, że  „Konstytucja RP jednoznacznie ochrania wolność</w:t>
      </w:r>
      <w:r w:rsidR="0052323F">
        <w:rPr>
          <w:rFonts w:ascii="Times New Roman" w:hAnsi="Times New Roman"/>
          <w:sz w:val="24"/>
          <w:szCs w:val="24"/>
        </w:rPr>
        <w:t xml:space="preserve"> </w:t>
      </w:r>
      <w:r w:rsidR="0052323F">
        <w:rPr>
          <w:rFonts w:ascii="Times New Roman" w:hAnsi="Times New Roman"/>
          <w:sz w:val="24"/>
          <w:szCs w:val="24"/>
        </w:rPr>
        <w:br/>
      </w:r>
      <w:r w:rsidRPr="005C0274">
        <w:rPr>
          <w:rFonts w:ascii="Times New Roman" w:hAnsi="Times New Roman"/>
          <w:sz w:val="24"/>
          <w:szCs w:val="24"/>
        </w:rPr>
        <w:t xml:space="preserve">wypowiedzi”. Zwrócono także uwagę, że „parafowana ostatnio przez szereg uczelni </w:t>
      </w:r>
      <w:r w:rsidR="0052323F">
        <w:rPr>
          <w:rFonts w:ascii="Times New Roman" w:hAnsi="Times New Roman"/>
          <w:sz w:val="24"/>
          <w:szCs w:val="24"/>
        </w:rPr>
        <w:br/>
      </w:r>
      <w:r w:rsidRPr="005C0274">
        <w:rPr>
          <w:rFonts w:ascii="Times New Roman" w:hAnsi="Times New Roman"/>
          <w:sz w:val="24"/>
          <w:szCs w:val="24"/>
        </w:rPr>
        <w:t>Deklaracja Społecznej Odpowiedzialności Uczelni już na swym początku zawiera</w:t>
      </w:r>
      <w:r w:rsidR="0052323F">
        <w:rPr>
          <w:rFonts w:ascii="Times New Roman" w:hAnsi="Times New Roman"/>
          <w:sz w:val="24"/>
          <w:szCs w:val="24"/>
        </w:rPr>
        <w:br/>
      </w:r>
      <w:r w:rsidRPr="005C0274">
        <w:rPr>
          <w:rFonts w:ascii="Times New Roman" w:hAnsi="Times New Roman"/>
          <w:sz w:val="24"/>
          <w:szCs w:val="24"/>
        </w:rPr>
        <w:t>stwierdzenie o zobowiązaniu sygnatariuszy do „pielęgnowania wartości akademickich, zapisanych w</w:t>
      </w:r>
      <w:r w:rsidR="0052323F">
        <w:rPr>
          <w:rFonts w:ascii="Times New Roman" w:hAnsi="Times New Roman"/>
          <w:sz w:val="24"/>
          <w:szCs w:val="24"/>
        </w:rPr>
        <w:t> </w:t>
      </w:r>
      <w:r w:rsidRPr="005C0274">
        <w:rPr>
          <w:rFonts w:ascii="Times New Roman" w:hAnsi="Times New Roman"/>
          <w:sz w:val="24"/>
          <w:szCs w:val="24"/>
        </w:rPr>
        <w:t xml:space="preserve"> </w:t>
      </w:r>
      <w:r w:rsidRPr="005C0274">
        <w:rPr>
          <w:rFonts w:ascii="Times New Roman" w:hAnsi="Times New Roman"/>
          <w:i/>
          <w:sz w:val="24"/>
          <w:szCs w:val="24"/>
        </w:rPr>
        <w:t>Kodeksie etyki pracownika naukowego</w:t>
      </w:r>
      <w:r w:rsidRPr="005C0274">
        <w:rPr>
          <w:rFonts w:ascii="Times New Roman" w:hAnsi="Times New Roman"/>
          <w:sz w:val="24"/>
          <w:szCs w:val="24"/>
        </w:rPr>
        <w:t>. (…) Uważamy, że sugerowana obecnie nowelizacja może naruszać autonomię uczelni, która jest podstawową wartością akademicką stanowiącą przecież ideę przewodnią ustawy 2.0. Wyżej wymieniony Kodeks opracowany przez Komisję do Spraw Etyki w Nauce i zarekomendowany do stosowania w środowisku akademickim i naukowym już w swej preambule stwierdza, że: „za podstawowe zasady etyki uznaje się (…) prawa do wolności przekonań”.</w:t>
      </w:r>
    </w:p>
    <w:p w14:paraId="13F22C0F" w14:textId="0AC723CA"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Komisja do Spraw Etyki w Nauce jeszcze dobitniej wyraziła swoje stanowisko w tej sprawie w związku z projektem nowelizacji ustawy</w:t>
      </w:r>
      <w:r>
        <w:rPr>
          <w:rFonts w:ascii="Times New Roman" w:hAnsi="Times New Roman"/>
          <w:sz w:val="24"/>
          <w:szCs w:val="24"/>
        </w:rPr>
        <w:t xml:space="preserve"> –</w:t>
      </w:r>
      <w:r w:rsidRPr="005C0274">
        <w:rPr>
          <w:rFonts w:ascii="Times New Roman" w:hAnsi="Times New Roman"/>
          <w:sz w:val="24"/>
          <w:szCs w:val="24"/>
        </w:rPr>
        <w:t xml:space="preserve"> Prawo o szkolnictwie wyższym i nauce, przygotowanym przez Ministerstwo Nauki i Szkolnictwa Wyższego w ramach tzw. „pakietu </w:t>
      </w:r>
      <w:r w:rsidRPr="005C0274">
        <w:rPr>
          <w:rFonts w:ascii="Times New Roman" w:hAnsi="Times New Roman"/>
          <w:sz w:val="24"/>
          <w:szCs w:val="24"/>
        </w:rPr>
        <w:lastRenderedPageBreak/>
        <w:t xml:space="preserve">wolnościowego”. </w:t>
      </w:r>
      <w:r w:rsidRPr="005C0274">
        <w:rPr>
          <w:rFonts w:ascii="Times New Roman" w:eastAsia="Times New Roman" w:hAnsi="Times New Roman"/>
          <w:sz w:val="24"/>
          <w:szCs w:val="24"/>
          <w:lang w:eastAsia="pl-PL"/>
        </w:rPr>
        <w:t xml:space="preserve">Zaniepokojenie członków Komisji wzbudziło to, że propozycje </w:t>
      </w:r>
      <w:r w:rsidR="0052323F">
        <w:rPr>
          <w:rFonts w:ascii="Times New Roman" w:eastAsia="Times New Roman" w:hAnsi="Times New Roman"/>
          <w:sz w:val="24"/>
          <w:szCs w:val="24"/>
          <w:lang w:eastAsia="pl-PL"/>
        </w:rPr>
        <w:br/>
      </w:r>
      <w:r w:rsidRPr="005C0274">
        <w:rPr>
          <w:rFonts w:ascii="Times New Roman" w:eastAsia="Times New Roman" w:hAnsi="Times New Roman"/>
          <w:sz w:val="24"/>
          <w:szCs w:val="24"/>
          <w:lang w:eastAsia="pl-PL"/>
        </w:rPr>
        <w:t>Ministerstwa Nauki i Szkolnictwa Wyższego ingerują w wolność głoszenia poglądów naukowych i łączy się je ze światopoglądem, religią i filozofią.</w:t>
      </w:r>
      <w:r w:rsidRPr="005C0274">
        <w:rPr>
          <w:rFonts w:ascii="Times New Roman" w:hAnsi="Times New Roman"/>
          <w:sz w:val="24"/>
          <w:szCs w:val="24"/>
        </w:rPr>
        <w:t xml:space="preserve"> Komisja, na posiedzeniu </w:t>
      </w:r>
      <w:r>
        <w:rPr>
          <w:rFonts w:ascii="Times New Roman" w:hAnsi="Times New Roman"/>
          <w:sz w:val="24"/>
          <w:szCs w:val="24"/>
        </w:rPr>
        <w:br/>
      </w:r>
      <w:r w:rsidRPr="005C0274">
        <w:rPr>
          <w:rFonts w:ascii="Times New Roman" w:hAnsi="Times New Roman"/>
          <w:sz w:val="24"/>
          <w:szCs w:val="24"/>
        </w:rPr>
        <w:t xml:space="preserve">w dniu 14 grudnia 2020 r. przyjęła stanowisko, w którym zwróciła m.in. uwagę, że „Wolność akademicka i wolność głoszenia poglądów naukowych, którą należy zdecydowanie pielęgnować i wspierać w ramach autonomii uczelni, jest czymś innym niż wolność głoszenia jakichś poglądów poza uniwersytetem. Uniwersytet jest „świątynią wiedzy” i wymaga od nauczycieli akademickich tworzenia wiedzy według określonych standardów naukowych </w:t>
      </w:r>
      <w:r>
        <w:rPr>
          <w:rFonts w:ascii="Times New Roman" w:hAnsi="Times New Roman"/>
          <w:sz w:val="24"/>
          <w:szCs w:val="24"/>
        </w:rPr>
        <w:br/>
      </w:r>
      <w:r w:rsidRPr="005C0274">
        <w:rPr>
          <w:rFonts w:ascii="Times New Roman" w:hAnsi="Times New Roman"/>
          <w:sz w:val="24"/>
          <w:szCs w:val="24"/>
        </w:rPr>
        <w:t xml:space="preserve">i przekazywania wiedzy zgodnej z jej aktualnym stanem. (…) Prezentowanie w środowisku naukowym treści, które nie spełniają kryteriów naukowych spotyka się z ich odrzuceniem </w:t>
      </w:r>
      <w:r w:rsidR="0052323F">
        <w:rPr>
          <w:rFonts w:ascii="Times New Roman" w:hAnsi="Times New Roman"/>
          <w:sz w:val="24"/>
          <w:szCs w:val="24"/>
        </w:rPr>
        <w:br/>
      </w:r>
      <w:r w:rsidRPr="005C0274">
        <w:rPr>
          <w:rFonts w:ascii="Times New Roman" w:hAnsi="Times New Roman"/>
          <w:sz w:val="24"/>
          <w:szCs w:val="24"/>
        </w:rPr>
        <w:t xml:space="preserve">przez to środowisko. Prezentowanie natomiast takich treści studentom – w ramach zbyt swobodnie rozumianej wolności nauczania – podważałoby istotę edukacji, nauki </w:t>
      </w:r>
      <w:r>
        <w:rPr>
          <w:rFonts w:ascii="Times New Roman" w:hAnsi="Times New Roman"/>
          <w:sz w:val="24"/>
          <w:szCs w:val="24"/>
        </w:rPr>
        <w:br/>
      </w:r>
      <w:r w:rsidRPr="005C0274">
        <w:rPr>
          <w:rFonts w:ascii="Times New Roman" w:hAnsi="Times New Roman"/>
          <w:sz w:val="24"/>
          <w:szCs w:val="24"/>
        </w:rPr>
        <w:t xml:space="preserve">i uniwersytetu. Przeciwstawianie się i jednym i drugim </w:t>
      </w:r>
      <w:proofErr w:type="spellStart"/>
      <w:r w:rsidRPr="005C0274">
        <w:rPr>
          <w:rFonts w:ascii="Times New Roman" w:hAnsi="Times New Roman"/>
          <w:sz w:val="24"/>
          <w:szCs w:val="24"/>
        </w:rPr>
        <w:t>zachowaniom</w:t>
      </w:r>
      <w:proofErr w:type="spellEnd"/>
      <w:r w:rsidRPr="005C0274">
        <w:rPr>
          <w:rFonts w:ascii="Times New Roman" w:hAnsi="Times New Roman"/>
          <w:sz w:val="24"/>
          <w:szCs w:val="24"/>
        </w:rPr>
        <w:t xml:space="preserve"> jest naturalnym </w:t>
      </w:r>
      <w:r w:rsidR="0052323F">
        <w:rPr>
          <w:rFonts w:ascii="Times New Roman" w:hAnsi="Times New Roman"/>
          <w:sz w:val="24"/>
          <w:szCs w:val="24"/>
        </w:rPr>
        <w:br/>
      </w:r>
      <w:r w:rsidRPr="005C0274">
        <w:rPr>
          <w:rFonts w:ascii="Times New Roman" w:hAnsi="Times New Roman"/>
          <w:sz w:val="24"/>
          <w:szCs w:val="24"/>
        </w:rPr>
        <w:t>etycznym obowiązkiem uczonego i uniwersytetu jako instytucji.</w:t>
      </w:r>
      <w:r>
        <w:rPr>
          <w:rFonts w:ascii="Times New Roman" w:hAnsi="Times New Roman"/>
          <w:sz w:val="24"/>
          <w:szCs w:val="24"/>
        </w:rPr>
        <w:t xml:space="preserve"> </w:t>
      </w:r>
      <w:r w:rsidRPr="005C0274">
        <w:rPr>
          <w:rFonts w:ascii="Times New Roman" w:hAnsi="Times New Roman"/>
          <w:sz w:val="24"/>
          <w:szCs w:val="24"/>
        </w:rPr>
        <w:t xml:space="preserve">Proponowane regulacje </w:t>
      </w:r>
      <w:r w:rsidR="0052323F">
        <w:rPr>
          <w:rFonts w:ascii="Times New Roman" w:hAnsi="Times New Roman"/>
          <w:sz w:val="24"/>
          <w:szCs w:val="24"/>
        </w:rPr>
        <w:br/>
      </w:r>
      <w:r w:rsidRPr="005C0274">
        <w:rPr>
          <w:rFonts w:ascii="Times New Roman" w:hAnsi="Times New Roman"/>
          <w:sz w:val="24"/>
          <w:szCs w:val="24"/>
        </w:rPr>
        <w:t>mogą prowadzić do zatarcia lub wręcz wyeliminowania różnicy między nauką a poglądami nienaukowymi, światopoglądem i pseudonauką.”</w:t>
      </w:r>
    </w:p>
    <w:p w14:paraId="4C910840" w14:textId="77777777"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t xml:space="preserve">Wątpliwości członków Komisji wzbudziły także zapowiedzi Przemysława </w:t>
      </w:r>
      <w:proofErr w:type="spellStart"/>
      <w:r w:rsidRPr="005C0274">
        <w:rPr>
          <w:rFonts w:ascii="Times New Roman" w:hAnsi="Times New Roman"/>
          <w:sz w:val="24"/>
          <w:szCs w:val="24"/>
        </w:rPr>
        <w:t>Czarnka</w:t>
      </w:r>
      <w:proofErr w:type="spellEnd"/>
      <w:r w:rsidRPr="005C0274">
        <w:rPr>
          <w:rFonts w:ascii="Times New Roman" w:hAnsi="Times New Roman"/>
          <w:sz w:val="24"/>
          <w:szCs w:val="24"/>
        </w:rPr>
        <w:t xml:space="preserve">, Ministra Edukacji i Nauki, że przyznawanie uczelniom środków finansowych na inwestycje i projekty naukowe może być uzależnione od przyzwolenia władz uczelni na udział studentów </w:t>
      </w:r>
      <w:r>
        <w:rPr>
          <w:rFonts w:ascii="Times New Roman" w:hAnsi="Times New Roman"/>
          <w:sz w:val="24"/>
          <w:szCs w:val="24"/>
        </w:rPr>
        <w:br/>
      </w:r>
      <w:r w:rsidRPr="005C0274">
        <w:rPr>
          <w:rFonts w:ascii="Times New Roman" w:hAnsi="Times New Roman"/>
          <w:sz w:val="24"/>
          <w:szCs w:val="24"/>
        </w:rPr>
        <w:t xml:space="preserve">i pracowników szkół wyższych w protestach społecznych.  </w:t>
      </w:r>
    </w:p>
    <w:p w14:paraId="72F6600E" w14:textId="77777777"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t xml:space="preserve">Komisja do spraw Etyki w Nauce, w piśmie z dnia 5 listopada 2020 r. do Mateusza Morawieckiego, Prezesa Rady Ministrów RP uznała za szczególnie niedopuszczalną „groźbę uzależniania rozdziału środków finansowych, zwłaszcza na badania naukowe, od pełnej akceptacji polityki aktualnych władz – można by to uważać za zachętę do </w:t>
      </w:r>
      <w:proofErr w:type="spellStart"/>
      <w:r w:rsidRPr="005C0274">
        <w:rPr>
          <w:rFonts w:ascii="Times New Roman" w:hAnsi="Times New Roman"/>
          <w:sz w:val="24"/>
          <w:szCs w:val="24"/>
        </w:rPr>
        <w:t>zachowań</w:t>
      </w:r>
      <w:proofErr w:type="spellEnd"/>
      <w:r w:rsidRPr="005C0274">
        <w:rPr>
          <w:rFonts w:ascii="Times New Roman" w:hAnsi="Times New Roman"/>
          <w:sz w:val="24"/>
          <w:szCs w:val="24"/>
        </w:rPr>
        <w:t xml:space="preserve"> niezgodnych z normami etycznymi obowiązującymi w podległych Ministrowi środowiskach akademickich. (…) W istocie rzeczy, wypowiedź Pana Ministra </w:t>
      </w:r>
      <w:proofErr w:type="spellStart"/>
      <w:r w:rsidRPr="005C0274">
        <w:rPr>
          <w:rFonts w:ascii="Times New Roman" w:hAnsi="Times New Roman"/>
          <w:sz w:val="24"/>
          <w:szCs w:val="24"/>
        </w:rPr>
        <w:t>Czarnka</w:t>
      </w:r>
      <w:proofErr w:type="spellEnd"/>
      <w:r w:rsidRPr="005C0274">
        <w:rPr>
          <w:rFonts w:ascii="Times New Roman" w:hAnsi="Times New Roman"/>
          <w:sz w:val="24"/>
          <w:szCs w:val="24"/>
        </w:rPr>
        <w:t xml:space="preserve"> może być interpretowana jako szantaż w kierunku wymuszania na środowisku akademickim </w:t>
      </w:r>
      <w:proofErr w:type="spellStart"/>
      <w:r w:rsidRPr="005C0274">
        <w:rPr>
          <w:rFonts w:ascii="Times New Roman" w:hAnsi="Times New Roman"/>
          <w:sz w:val="24"/>
          <w:szCs w:val="24"/>
        </w:rPr>
        <w:t>zachowań</w:t>
      </w:r>
      <w:proofErr w:type="spellEnd"/>
      <w:r w:rsidRPr="005C0274">
        <w:rPr>
          <w:rFonts w:ascii="Times New Roman" w:hAnsi="Times New Roman"/>
          <w:sz w:val="24"/>
          <w:szCs w:val="24"/>
        </w:rPr>
        <w:t xml:space="preserve"> zgodnych z życzeniami polityków. Jest to fundamentalnie niezgodne z zasadami etyki </w:t>
      </w:r>
      <w:r>
        <w:rPr>
          <w:rFonts w:ascii="Times New Roman" w:hAnsi="Times New Roman"/>
          <w:sz w:val="24"/>
          <w:szCs w:val="24"/>
        </w:rPr>
        <w:br/>
      </w:r>
      <w:r w:rsidRPr="005C0274">
        <w:rPr>
          <w:rFonts w:ascii="Times New Roman" w:hAnsi="Times New Roman"/>
          <w:sz w:val="24"/>
          <w:szCs w:val="24"/>
        </w:rPr>
        <w:t>w nauce, obowiązującymi w ładzie demokratycznym, gdyż wprowadza formę odpowiedzialności zbiorowej.”</w:t>
      </w:r>
    </w:p>
    <w:p w14:paraId="70CFECFF" w14:textId="33F7EC0B"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Przy okazji dyskusji dotyczących wolności akademickiej członkowie Komisji do Spraw Etyki w Nauce zwracali także uwagę na znaczenie Deklaracji Społecznej Odpowiedzialności </w:t>
      </w:r>
      <w:r w:rsidR="0052323F">
        <w:rPr>
          <w:rFonts w:ascii="Times New Roman" w:hAnsi="Times New Roman"/>
          <w:sz w:val="24"/>
          <w:szCs w:val="24"/>
        </w:rPr>
        <w:br/>
      </w:r>
      <w:r w:rsidRPr="005C0274">
        <w:rPr>
          <w:rFonts w:ascii="Times New Roman" w:hAnsi="Times New Roman"/>
          <w:sz w:val="24"/>
          <w:szCs w:val="24"/>
        </w:rPr>
        <w:t xml:space="preserve">Uczelni dla przestrzegania zasad etyki w nauce. Uznano, że kwestie związane z etyką </w:t>
      </w:r>
      <w:r w:rsidR="0052323F">
        <w:rPr>
          <w:rFonts w:ascii="Times New Roman" w:hAnsi="Times New Roman"/>
          <w:sz w:val="24"/>
          <w:szCs w:val="24"/>
        </w:rPr>
        <w:br/>
      </w:r>
      <w:r w:rsidRPr="005C0274">
        <w:rPr>
          <w:rFonts w:ascii="Times New Roman" w:hAnsi="Times New Roman"/>
          <w:sz w:val="24"/>
          <w:szCs w:val="24"/>
        </w:rPr>
        <w:lastRenderedPageBreak/>
        <w:t xml:space="preserve">powinny zostać uregulowane także w ustawie </w:t>
      </w:r>
      <w:r w:rsidRPr="005C0274">
        <w:rPr>
          <w:rFonts w:ascii="Times New Roman" w:hAnsi="Times New Roman"/>
          <w:i/>
          <w:sz w:val="24"/>
          <w:szCs w:val="24"/>
        </w:rPr>
        <w:t>o Polskiej Akademii Nauk</w:t>
      </w:r>
      <w:r w:rsidRPr="005C0274">
        <w:rPr>
          <w:rFonts w:ascii="Times New Roman" w:hAnsi="Times New Roman"/>
          <w:sz w:val="24"/>
          <w:szCs w:val="24"/>
        </w:rPr>
        <w:t xml:space="preserve">. Komisja do Spraw Etyki w Nauce wystąpiła do Prezesa PAN z postulatem wprowadzenia odpowiednich zasad dotyczących wysokich wymagań etycznych stawianych przed pracownikami nauki do znowelizowanej ustawy o Polskiej Akademii Nauk: „Komisja do Spraw Etyki w Nauce </w:t>
      </w:r>
      <w:r w:rsidR="0052323F">
        <w:rPr>
          <w:rFonts w:ascii="Times New Roman" w:hAnsi="Times New Roman"/>
          <w:sz w:val="24"/>
          <w:szCs w:val="24"/>
        </w:rPr>
        <w:br/>
      </w:r>
      <w:r w:rsidRPr="005C0274">
        <w:rPr>
          <w:rFonts w:ascii="Times New Roman" w:hAnsi="Times New Roman"/>
          <w:sz w:val="24"/>
          <w:szCs w:val="24"/>
        </w:rPr>
        <w:t xml:space="preserve">uważa, że znaczącą wartością </w:t>
      </w:r>
      <w:r w:rsidRPr="005C0274">
        <w:rPr>
          <w:rFonts w:ascii="Times New Roman" w:hAnsi="Times New Roman"/>
          <w:i/>
          <w:sz w:val="24"/>
          <w:szCs w:val="24"/>
        </w:rPr>
        <w:t>Deklaracji Społecznej Odpowiedzialności Uczelni</w:t>
      </w:r>
      <w:r w:rsidRPr="005C0274">
        <w:rPr>
          <w:rFonts w:ascii="Times New Roman" w:hAnsi="Times New Roman"/>
          <w:sz w:val="24"/>
          <w:szCs w:val="24"/>
        </w:rPr>
        <w:t xml:space="preserve"> jest dobitne podkreślenie wagi etyki dla zapewnienia rzetelności i wiarygodności  nauki i dydaktyki, co wyraża się m.in. w poparciu - już w pierwszym punkcie Deklaracji - dla </w:t>
      </w:r>
      <w:r w:rsidRPr="005C0274">
        <w:rPr>
          <w:rFonts w:ascii="Times New Roman" w:hAnsi="Times New Roman"/>
          <w:i/>
          <w:sz w:val="24"/>
          <w:szCs w:val="24"/>
        </w:rPr>
        <w:t>Kodeksu Etyki Pracownika Naukowego</w:t>
      </w:r>
      <w:r w:rsidRPr="005C0274">
        <w:rPr>
          <w:rFonts w:ascii="Times New Roman" w:hAnsi="Times New Roman"/>
          <w:sz w:val="24"/>
          <w:szCs w:val="24"/>
        </w:rPr>
        <w:t xml:space="preserve"> opracowanego przez naszą Komisję.” </w:t>
      </w:r>
    </w:p>
    <w:p w14:paraId="73C3F2D6" w14:textId="77777777"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W 2020 r. Komisja opracowała także, po konsultacjach ze środowiskiem naukowym </w:t>
      </w:r>
      <w:r>
        <w:rPr>
          <w:rFonts w:ascii="Times New Roman" w:hAnsi="Times New Roman"/>
          <w:sz w:val="24"/>
          <w:szCs w:val="24"/>
        </w:rPr>
        <w:br/>
      </w:r>
      <w:r w:rsidRPr="005C0274">
        <w:rPr>
          <w:rFonts w:ascii="Times New Roman" w:hAnsi="Times New Roman"/>
          <w:sz w:val="24"/>
          <w:szCs w:val="24"/>
        </w:rPr>
        <w:t xml:space="preserve">i akademickim, nową edycję </w:t>
      </w:r>
      <w:r w:rsidRPr="005C0274">
        <w:rPr>
          <w:rFonts w:ascii="Times New Roman" w:hAnsi="Times New Roman"/>
          <w:i/>
          <w:sz w:val="24"/>
          <w:szCs w:val="24"/>
        </w:rPr>
        <w:t>Kodeksu etyki pracownika naukowego</w:t>
      </w:r>
      <w:r w:rsidRPr="005C0274">
        <w:rPr>
          <w:rFonts w:ascii="Times New Roman" w:hAnsi="Times New Roman"/>
          <w:sz w:val="24"/>
          <w:szCs w:val="24"/>
        </w:rPr>
        <w:t xml:space="preserve">, która została uchwalona na </w:t>
      </w:r>
      <w:r w:rsidRPr="005C0274">
        <w:rPr>
          <w:rFonts w:ascii="Times New Roman" w:hAnsi="Times New Roman"/>
          <w:bCs/>
          <w:sz w:val="24"/>
          <w:szCs w:val="24"/>
        </w:rPr>
        <w:t xml:space="preserve">141. Sesji </w:t>
      </w:r>
      <w:r w:rsidRPr="005C0274">
        <w:rPr>
          <w:rFonts w:ascii="Times New Roman" w:hAnsi="Times New Roman"/>
          <w:sz w:val="24"/>
          <w:szCs w:val="24"/>
        </w:rPr>
        <w:t xml:space="preserve">Zgromadzenia Ogólnego PAN w dniu 25 czerwca 2020 r. </w:t>
      </w:r>
    </w:p>
    <w:p w14:paraId="3F47F3DA" w14:textId="2A6700A9" w:rsidR="001120BC" w:rsidRPr="005C0274" w:rsidRDefault="001120BC" w:rsidP="001120BC">
      <w:pPr>
        <w:spacing w:after="0" w:line="360" w:lineRule="auto"/>
        <w:jc w:val="both"/>
        <w:rPr>
          <w:rFonts w:ascii="Times New Roman" w:hAnsi="Times New Roman"/>
          <w:sz w:val="24"/>
          <w:szCs w:val="24"/>
        </w:rPr>
      </w:pPr>
      <w:r w:rsidRPr="005C0274">
        <w:rPr>
          <w:rFonts w:ascii="Times New Roman" w:eastAsia="Times New Roman" w:hAnsi="Times New Roman"/>
          <w:bCs/>
          <w:iCs/>
          <w:sz w:val="24"/>
          <w:szCs w:val="24"/>
          <w:lang w:eastAsia="pl-PL"/>
        </w:rPr>
        <w:t xml:space="preserve">Propozycje zmian w Kodeksie, zgłaszane przez uczelnie i jednostki naukowe miały charakter ogólny i redakcyjny. Zwrócono uwagę na np. konieczność zawarcia regulacji dotyczących np. </w:t>
      </w:r>
      <w:proofErr w:type="spellStart"/>
      <w:r w:rsidRPr="005C0274">
        <w:rPr>
          <w:rFonts w:ascii="Times New Roman" w:eastAsia="Times New Roman" w:hAnsi="Times New Roman"/>
          <w:bCs/>
          <w:iCs/>
          <w:sz w:val="24"/>
          <w:szCs w:val="24"/>
          <w:lang w:eastAsia="pl-PL"/>
        </w:rPr>
        <w:t>mobbingu</w:t>
      </w:r>
      <w:proofErr w:type="spellEnd"/>
      <w:r w:rsidRPr="005C0274">
        <w:rPr>
          <w:rFonts w:ascii="Times New Roman" w:eastAsia="Times New Roman" w:hAnsi="Times New Roman"/>
          <w:bCs/>
          <w:iCs/>
          <w:sz w:val="24"/>
          <w:szCs w:val="24"/>
          <w:lang w:eastAsia="pl-PL"/>
        </w:rPr>
        <w:t xml:space="preserve"> czy zaktualizowania uregulowań dotyczących recenzowania. </w:t>
      </w:r>
      <w:r w:rsidRPr="005C0274">
        <w:rPr>
          <w:rFonts w:ascii="Times New Roman" w:hAnsi="Times New Roman"/>
          <w:sz w:val="24"/>
          <w:szCs w:val="24"/>
        </w:rPr>
        <w:t xml:space="preserve">Doprecyzowano </w:t>
      </w:r>
      <w:r w:rsidR="00A361A9">
        <w:rPr>
          <w:rFonts w:ascii="Times New Roman" w:hAnsi="Times New Roman"/>
          <w:sz w:val="24"/>
          <w:szCs w:val="24"/>
        </w:rPr>
        <w:br/>
      </w:r>
      <w:r w:rsidRPr="005C0274">
        <w:rPr>
          <w:rFonts w:ascii="Times New Roman" w:hAnsi="Times New Roman"/>
          <w:sz w:val="24"/>
          <w:szCs w:val="24"/>
        </w:rPr>
        <w:t>także uregulowania związane z konfliktem interesów</w:t>
      </w:r>
      <w:r>
        <w:rPr>
          <w:rFonts w:ascii="Times New Roman" w:hAnsi="Times New Roman"/>
          <w:sz w:val="24"/>
          <w:szCs w:val="24"/>
        </w:rPr>
        <w:t>.</w:t>
      </w:r>
    </w:p>
    <w:p w14:paraId="4662D2A1" w14:textId="2F3C39A2"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Sprawa ewentualnego konfliktu interesów powracała kilkakrotnie w pracach Komisji także </w:t>
      </w:r>
      <w:r>
        <w:rPr>
          <w:rFonts w:ascii="Times New Roman" w:hAnsi="Times New Roman"/>
          <w:sz w:val="24"/>
          <w:szCs w:val="24"/>
        </w:rPr>
        <w:br/>
      </w:r>
      <w:r w:rsidRPr="005C0274">
        <w:rPr>
          <w:rFonts w:ascii="Times New Roman" w:hAnsi="Times New Roman"/>
          <w:sz w:val="24"/>
          <w:szCs w:val="24"/>
        </w:rPr>
        <w:t xml:space="preserve">w 2020 r., miedzy innymi w związku z oceną wniosku o grant badawczy złożony </w:t>
      </w:r>
      <w:r>
        <w:rPr>
          <w:rFonts w:ascii="Times New Roman" w:hAnsi="Times New Roman"/>
          <w:sz w:val="24"/>
          <w:szCs w:val="24"/>
        </w:rPr>
        <w:br/>
      </w:r>
      <w:r w:rsidRPr="005C0274">
        <w:rPr>
          <w:rFonts w:ascii="Times New Roman" w:hAnsi="Times New Roman"/>
          <w:sz w:val="24"/>
          <w:szCs w:val="24"/>
        </w:rPr>
        <w:t xml:space="preserve">w Narodowym Centrum Nauki. Zgłaszający sprawę wskazał, iż kilka lat temu był zatrudniony jako koordynator dyscyplin w NCN. Ze względu na niespełnienie kryteriów formalnych odrzucił wówczas wniosek o grant badawczy członka Komisji NCN, który teraz oceniał jego wnioski. W obu konkursach Sonata Bis członek Komisji NCN występował w roli eksperta </w:t>
      </w:r>
      <w:r>
        <w:rPr>
          <w:rFonts w:ascii="Times New Roman" w:hAnsi="Times New Roman"/>
          <w:sz w:val="24"/>
          <w:szCs w:val="24"/>
        </w:rPr>
        <w:br/>
      </w:r>
      <w:r w:rsidRPr="005C0274">
        <w:rPr>
          <w:rFonts w:ascii="Times New Roman" w:hAnsi="Times New Roman"/>
          <w:sz w:val="24"/>
          <w:szCs w:val="24"/>
        </w:rPr>
        <w:t xml:space="preserve">i brał aktywny udział w rozmowie kwalifikacyjnej. Wniosek zgłaszającego problem nie otrzymał finansowania pomimo, jego zdaniem, wysokiej oceny przyznanej przez recenzentów zewnętrznych. W związku z tym Zgłaszający zwrócił się do Komisji do Spraw Etyki w Nauce o opinię, czy w przedstawionej sytuacji zachodzi konflikt interesów i czy członek Komisji </w:t>
      </w:r>
      <w:r w:rsidR="00881D0A">
        <w:rPr>
          <w:rFonts w:ascii="Times New Roman" w:hAnsi="Times New Roman"/>
          <w:sz w:val="24"/>
          <w:szCs w:val="24"/>
        </w:rPr>
        <w:br/>
      </w:r>
      <w:r w:rsidRPr="005C0274">
        <w:rPr>
          <w:rFonts w:ascii="Times New Roman" w:hAnsi="Times New Roman"/>
          <w:sz w:val="24"/>
          <w:szCs w:val="24"/>
        </w:rPr>
        <w:t xml:space="preserve">NCN powinien być dopuszczony do oceny jego wniosku. </w:t>
      </w:r>
    </w:p>
    <w:p w14:paraId="58373B8F" w14:textId="55A82910"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t>Komisja uznała, że w opisanej sprawie mogło dojść do uchybienia etycznego i wystąpienia konfliktu interesów. Zwrócono się do prof.</w:t>
      </w:r>
      <w:r w:rsidRPr="005C0274">
        <w:rPr>
          <w:rFonts w:ascii="Times New Roman" w:hAnsi="Times New Roman"/>
          <w:color w:val="000000"/>
          <w:sz w:val="24"/>
          <w:szCs w:val="24"/>
        </w:rPr>
        <w:t xml:space="preserve"> Zbigniewa Błockiego, Dyrektora Narodowego Centrum Nauki z prośbą o wyjaśnienie sprawy i przekazanie Komisji ustaleń dokonanych </w:t>
      </w:r>
      <w:r>
        <w:rPr>
          <w:rFonts w:ascii="Times New Roman" w:hAnsi="Times New Roman"/>
          <w:color w:val="000000"/>
          <w:sz w:val="24"/>
          <w:szCs w:val="24"/>
        </w:rPr>
        <w:br/>
      </w:r>
      <w:r w:rsidRPr="005C0274">
        <w:rPr>
          <w:rFonts w:ascii="Times New Roman" w:hAnsi="Times New Roman"/>
          <w:color w:val="000000"/>
          <w:sz w:val="24"/>
          <w:szCs w:val="24"/>
        </w:rPr>
        <w:t xml:space="preserve">w sprawie. </w:t>
      </w:r>
      <w:r w:rsidRPr="005C0274">
        <w:rPr>
          <w:rFonts w:ascii="Times New Roman" w:hAnsi="Times New Roman"/>
          <w:sz w:val="24"/>
          <w:szCs w:val="24"/>
        </w:rPr>
        <w:t xml:space="preserve">Dyrektor Narodowego Centrum Nauki uznał jednak, że Komisja nie jest </w:t>
      </w:r>
      <w:r w:rsidR="00881D0A">
        <w:rPr>
          <w:rFonts w:ascii="Times New Roman" w:hAnsi="Times New Roman"/>
          <w:sz w:val="24"/>
          <w:szCs w:val="24"/>
        </w:rPr>
        <w:br/>
      </w:r>
      <w:r w:rsidRPr="005C0274">
        <w:rPr>
          <w:rFonts w:ascii="Times New Roman" w:hAnsi="Times New Roman"/>
          <w:sz w:val="24"/>
          <w:szCs w:val="24"/>
        </w:rPr>
        <w:t>uprawniona do otrzymania informacji o wynikach przekazanej do rozpatrzenia NCN sprawy.</w:t>
      </w:r>
      <w:r>
        <w:rPr>
          <w:rFonts w:ascii="Times New Roman" w:hAnsi="Times New Roman"/>
          <w:sz w:val="24"/>
          <w:szCs w:val="24"/>
        </w:rPr>
        <w:t xml:space="preserve"> </w:t>
      </w:r>
      <w:r w:rsidR="00881D0A">
        <w:rPr>
          <w:rFonts w:ascii="Times New Roman" w:hAnsi="Times New Roman"/>
          <w:sz w:val="24"/>
          <w:szCs w:val="24"/>
        </w:rPr>
        <w:br/>
      </w:r>
      <w:r w:rsidRPr="005C0274">
        <w:rPr>
          <w:rFonts w:ascii="Times New Roman" w:hAnsi="Times New Roman"/>
          <w:sz w:val="24"/>
          <w:szCs w:val="24"/>
        </w:rPr>
        <w:t xml:space="preserve">Członkowie Komisji byli także zaniepokojeni trybem przyznawania grantów </w:t>
      </w:r>
      <w:r>
        <w:rPr>
          <w:rFonts w:ascii="Times New Roman" w:hAnsi="Times New Roman"/>
          <w:sz w:val="24"/>
          <w:szCs w:val="24"/>
        </w:rPr>
        <w:br/>
      </w:r>
      <w:r w:rsidRPr="005C0274">
        <w:rPr>
          <w:rFonts w:ascii="Times New Roman" w:hAnsi="Times New Roman"/>
          <w:sz w:val="24"/>
          <w:szCs w:val="24"/>
        </w:rPr>
        <w:t xml:space="preserve">i wydatkowaniem znacznych środków z budżetu państwa w </w:t>
      </w:r>
      <w:proofErr w:type="spellStart"/>
      <w:r w:rsidRPr="005C0274">
        <w:rPr>
          <w:rFonts w:ascii="Times New Roman" w:hAnsi="Times New Roman"/>
          <w:sz w:val="24"/>
          <w:szCs w:val="24"/>
        </w:rPr>
        <w:t>NCBiR</w:t>
      </w:r>
      <w:proofErr w:type="spellEnd"/>
      <w:r w:rsidRPr="005C0274">
        <w:rPr>
          <w:rFonts w:ascii="Times New Roman" w:hAnsi="Times New Roman"/>
          <w:sz w:val="24"/>
          <w:szCs w:val="24"/>
        </w:rPr>
        <w:t xml:space="preserve">, m.in. w kontekście </w:t>
      </w:r>
      <w:r w:rsidRPr="005C0274">
        <w:rPr>
          <w:rFonts w:ascii="Times New Roman" w:hAnsi="Times New Roman"/>
          <w:sz w:val="24"/>
          <w:szCs w:val="24"/>
        </w:rPr>
        <w:lastRenderedPageBreak/>
        <w:t>wątpliwości zgłaszanych publicznie w związku z przyznawaniem grantów spółce, której dyrektor był bratem wiceministra nauki i szkolnictwa wyższego.</w:t>
      </w:r>
    </w:p>
    <w:p w14:paraId="59F4CB51" w14:textId="4C910AD7"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Kolejne wątpliwości dotyczące ewentualnego konfliktu interesów zgłosił przedstawiciel </w:t>
      </w:r>
      <w:r w:rsidR="00A361A9">
        <w:rPr>
          <w:rFonts w:ascii="Times New Roman" w:hAnsi="Times New Roman"/>
          <w:sz w:val="24"/>
          <w:szCs w:val="24"/>
        </w:rPr>
        <w:br/>
      </w:r>
      <w:r w:rsidRPr="005C0274">
        <w:rPr>
          <w:rFonts w:ascii="Times New Roman" w:hAnsi="Times New Roman"/>
          <w:sz w:val="24"/>
          <w:szCs w:val="24"/>
        </w:rPr>
        <w:t xml:space="preserve">jednej z grup badawczych wobec pracownicy naukowej jednej z Uczelni. Pracownica ta brała udział w projekcie realizowanym na Uniwersytecie i była jednocześnie wiceprezesem firmy, której zlecono przeprowadzenie badań. W tym przypadku Komisja zgodziła się ze stanowiskiem Rzecznika Dyscyplinarnego Uczelni, który uznał zarzuty za bezzasadne, ponieważ firma, w której pracownica naukowa Uczelni była wiceprezesem przeprowadziła badania ankietowe </w:t>
      </w:r>
      <w:proofErr w:type="spellStart"/>
      <w:r w:rsidRPr="005C0274">
        <w:rPr>
          <w:rFonts w:ascii="Times New Roman" w:hAnsi="Times New Roman"/>
          <w:sz w:val="24"/>
          <w:szCs w:val="24"/>
        </w:rPr>
        <w:t>bezkosztowo</w:t>
      </w:r>
      <w:proofErr w:type="spellEnd"/>
      <w:r w:rsidRPr="005C0274">
        <w:rPr>
          <w:rFonts w:ascii="Times New Roman" w:hAnsi="Times New Roman"/>
          <w:sz w:val="24"/>
          <w:szCs w:val="24"/>
        </w:rPr>
        <w:t xml:space="preserve"> i bez zaangażowania publicznych środków finansowych.</w:t>
      </w:r>
    </w:p>
    <w:p w14:paraId="1F28D19F" w14:textId="7359C3D4"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Kolejnym przykładem ewentualnego wystąpienia konfliktu interesów była sytuacja opisana </w:t>
      </w:r>
      <w:r>
        <w:rPr>
          <w:rFonts w:ascii="Times New Roman" w:hAnsi="Times New Roman"/>
          <w:sz w:val="24"/>
          <w:szCs w:val="24"/>
        </w:rPr>
        <w:br/>
      </w:r>
      <w:r w:rsidRPr="005C0274">
        <w:rPr>
          <w:rFonts w:ascii="Times New Roman" w:hAnsi="Times New Roman"/>
          <w:sz w:val="24"/>
          <w:szCs w:val="24"/>
        </w:rPr>
        <w:t xml:space="preserve">w artykule na jednym z portali internetowych. Rektor jednej z prestiżowych polskich uczelni jest jednocześnie zatrudniony dodatkowo w kilku innych instytucjach (spółkach, radzie nadzorczej, prywatnych firmach). Autor artykułu opisującego ten problem poddał </w:t>
      </w:r>
      <w:r>
        <w:rPr>
          <w:rFonts w:ascii="Times New Roman" w:hAnsi="Times New Roman"/>
          <w:sz w:val="24"/>
          <w:szCs w:val="24"/>
        </w:rPr>
        <w:br/>
      </w:r>
      <w:r w:rsidRPr="005C0274">
        <w:rPr>
          <w:rFonts w:ascii="Times New Roman" w:hAnsi="Times New Roman"/>
          <w:sz w:val="24"/>
          <w:szCs w:val="24"/>
        </w:rPr>
        <w:t>w wątpliwość, czy takie działanie jest  zgodne z normami etycznymi</w:t>
      </w:r>
      <w:r>
        <w:rPr>
          <w:rFonts w:ascii="Times New Roman" w:hAnsi="Times New Roman"/>
          <w:sz w:val="24"/>
          <w:szCs w:val="24"/>
        </w:rPr>
        <w:t xml:space="preserve"> </w:t>
      </w:r>
      <w:r w:rsidRPr="005C0274">
        <w:rPr>
          <w:rFonts w:ascii="Times New Roman" w:hAnsi="Times New Roman"/>
          <w:sz w:val="24"/>
          <w:szCs w:val="24"/>
        </w:rPr>
        <w:t>i czy nie narusza to „</w:t>
      </w:r>
      <w:proofErr w:type="spellStart"/>
      <w:r w:rsidRPr="005C0274">
        <w:rPr>
          <w:rFonts w:ascii="Times New Roman" w:hAnsi="Times New Roman"/>
          <w:sz w:val="24"/>
          <w:szCs w:val="24"/>
        </w:rPr>
        <w:t>academic</w:t>
      </w:r>
      <w:proofErr w:type="spellEnd"/>
      <w:r w:rsidRPr="005C0274">
        <w:rPr>
          <w:rFonts w:ascii="Times New Roman" w:hAnsi="Times New Roman"/>
          <w:sz w:val="24"/>
          <w:szCs w:val="24"/>
        </w:rPr>
        <w:t xml:space="preserve"> </w:t>
      </w:r>
      <w:proofErr w:type="spellStart"/>
      <w:r w:rsidRPr="005C0274">
        <w:rPr>
          <w:rFonts w:ascii="Times New Roman" w:hAnsi="Times New Roman"/>
          <w:sz w:val="24"/>
          <w:szCs w:val="24"/>
        </w:rPr>
        <w:t>integrity</w:t>
      </w:r>
      <w:proofErr w:type="spellEnd"/>
      <w:r w:rsidRPr="005C0274">
        <w:rPr>
          <w:rFonts w:ascii="Times New Roman" w:hAnsi="Times New Roman"/>
          <w:sz w:val="24"/>
          <w:szCs w:val="24"/>
        </w:rPr>
        <w:t xml:space="preserve">”. Jak wskazano dalej w artykule, na dodatkowe zajęcie zarobkowe </w:t>
      </w:r>
      <w:r w:rsidR="00A361A9">
        <w:rPr>
          <w:rFonts w:ascii="Times New Roman" w:hAnsi="Times New Roman"/>
          <w:sz w:val="24"/>
          <w:szCs w:val="24"/>
        </w:rPr>
        <w:br/>
      </w:r>
      <w:r w:rsidRPr="005C0274">
        <w:rPr>
          <w:rFonts w:ascii="Times New Roman" w:hAnsi="Times New Roman"/>
          <w:sz w:val="24"/>
          <w:szCs w:val="24"/>
        </w:rPr>
        <w:t>Rektora zgodę udzieliła Rada Uczelni.</w:t>
      </w:r>
      <w:r>
        <w:rPr>
          <w:rFonts w:ascii="Times New Roman" w:hAnsi="Times New Roman"/>
          <w:sz w:val="24"/>
          <w:szCs w:val="24"/>
        </w:rPr>
        <w:t xml:space="preserve"> </w:t>
      </w:r>
      <w:r w:rsidRPr="005C0274">
        <w:rPr>
          <w:rFonts w:ascii="Times New Roman" w:hAnsi="Times New Roman"/>
          <w:sz w:val="24"/>
          <w:szCs w:val="24"/>
        </w:rPr>
        <w:t xml:space="preserve">Omawiając ten przykład, ale także w związku </w:t>
      </w:r>
      <w:r>
        <w:rPr>
          <w:rFonts w:ascii="Times New Roman" w:hAnsi="Times New Roman"/>
          <w:sz w:val="24"/>
          <w:szCs w:val="24"/>
        </w:rPr>
        <w:br/>
      </w:r>
      <w:r w:rsidRPr="005C0274">
        <w:rPr>
          <w:rFonts w:ascii="Times New Roman" w:hAnsi="Times New Roman"/>
          <w:sz w:val="24"/>
          <w:szCs w:val="24"/>
        </w:rPr>
        <w:t xml:space="preserve">z pojawiąjącymi się kolejnymi wnioskami i pytaniami o interpretację w sprawie konfliktu interesu członkowie Komisji wnikliwie przeanalizowali ten problem na jednym z posiedzeń. </w:t>
      </w:r>
    </w:p>
    <w:p w14:paraId="7BFE8984" w14:textId="77777777" w:rsidR="001120BC" w:rsidRPr="005C0274" w:rsidRDefault="001120BC" w:rsidP="001120BC">
      <w:pPr>
        <w:spacing w:after="0" w:line="360" w:lineRule="auto"/>
        <w:jc w:val="both"/>
        <w:rPr>
          <w:rFonts w:ascii="Times New Roman" w:hAnsi="Times New Roman"/>
          <w:i/>
          <w:iCs/>
          <w:color w:val="1F497D"/>
          <w:sz w:val="24"/>
          <w:szCs w:val="24"/>
        </w:rPr>
      </w:pPr>
      <w:r w:rsidRPr="005C0274">
        <w:rPr>
          <w:rFonts w:ascii="Times New Roman" w:hAnsi="Times New Roman"/>
          <w:sz w:val="24"/>
          <w:szCs w:val="24"/>
        </w:rPr>
        <w:t xml:space="preserve">Prof. A. Górski przedstawił przykłady rozwiązań kwestii konfliktu interesu w renomowanych uczelniach w Stanach Zjednoczonych i Europie. </w:t>
      </w:r>
      <w:proofErr w:type="spellStart"/>
      <w:r w:rsidRPr="001120BC">
        <w:rPr>
          <w:rFonts w:ascii="Times New Roman" w:hAnsi="Times New Roman"/>
          <w:sz w:val="24"/>
          <w:szCs w:val="24"/>
          <w:lang w:val="en-US"/>
        </w:rPr>
        <w:t>Deklaracje</w:t>
      </w:r>
      <w:proofErr w:type="spellEnd"/>
      <w:r w:rsidRPr="001120BC">
        <w:rPr>
          <w:rFonts w:ascii="Times New Roman" w:hAnsi="Times New Roman"/>
          <w:sz w:val="24"/>
          <w:szCs w:val="24"/>
          <w:lang w:val="en-US"/>
        </w:rPr>
        <w:t xml:space="preserve"> w </w:t>
      </w:r>
      <w:proofErr w:type="spellStart"/>
      <w:r w:rsidRPr="001120BC">
        <w:rPr>
          <w:rFonts w:ascii="Times New Roman" w:hAnsi="Times New Roman"/>
          <w:sz w:val="24"/>
          <w:szCs w:val="24"/>
          <w:lang w:val="en-US"/>
        </w:rPr>
        <w:t>tym</w:t>
      </w:r>
      <w:proofErr w:type="spellEnd"/>
      <w:r w:rsidRPr="001120BC">
        <w:rPr>
          <w:rFonts w:ascii="Times New Roman" w:hAnsi="Times New Roman"/>
          <w:sz w:val="24"/>
          <w:szCs w:val="24"/>
          <w:lang w:val="en-US"/>
        </w:rPr>
        <w:t xml:space="preserve"> </w:t>
      </w:r>
      <w:proofErr w:type="spellStart"/>
      <w:r w:rsidRPr="001120BC">
        <w:rPr>
          <w:rFonts w:ascii="Times New Roman" w:hAnsi="Times New Roman"/>
          <w:sz w:val="24"/>
          <w:szCs w:val="24"/>
          <w:lang w:val="en-US"/>
        </w:rPr>
        <w:t>przedmiocie</w:t>
      </w:r>
      <w:proofErr w:type="spellEnd"/>
      <w:r w:rsidRPr="001120BC">
        <w:rPr>
          <w:rFonts w:ascii="Times New Roman" w:hAnsi="Times New Roman"/>
          <w:sz w:val="24"/>
          <w:szCs w:val="24"/>
          <w:lang w:val="en-US"/>
        </w:rPr>
        <w:t xml:space="preserve"> </w:t>
      </w:r>
      <w:proofErr w:type="spellStart"/>
      <w:r w:rsidRPr="001120BC">
        <w:rPr>
          <w:rFonts w:ascii="Times New Roman" w:hAnsi="Times New Roman"/>
          <w:sz w:val="24"/>
          <w:szCs w:val="24"/>
          <w:lang w:val="en-US"/>
        </w:rPr>
        <w:t>są</w:t>
      </w:r>
      <w:proofErr w:type="spellEnd"/>
      <w:r w:rsidRPr="001120BC">
        <w:rPr>
          <w:rFonts w:ascii="Times New Roman" w:hAnsi="Times New Roman"/>
          <w:sz w:val="24"/>
          <w:szCs w:val="24"/>
          <w:lang w:val="en-US"/>
        </w:rPr>
        <w:t xml:space="preserve"> </w:t>
      </w:r>
      <w:proofErr w:type="spellStart"/>
      <w:r w:rsidRPr="001120BC">
        <w:rPr>
          <w:rFonts w:ascii="Times New Roman" w:hAnsi="Times New Roman"/>
          <w:sz w:val="24"/>
          <w:szCs w:val="24"/>
          <w:lang w:val="en-US"/>
        </w:rPr>
        <w:t>wymagane</w:t>
      </w:r>
      <w:proofErr w:type="spellEnd"/>
      <w:r w:rsidRPr="001120BC">
        <w:rPr>
          <w:rFonts w:ascii="Times New Roman" w:hAnsi="Times New Roman"/>
          <w:sz w:val="24"/>
          <w:szCs w:val="24"/>
          <w:lang w:val="en-US"/>
        </w:rPr>
        <w:t xml:space="preserve"> </w:t>
      </w:r>
      <w:r w:rsidRPr="005C0274">
        <w:rPr>
          <w:rFonts w:ascii="Times New Roman" w:hAnsi="Times New Roman"/>
          <w:sz w:val="24"/>
          <w:szCs w:val="24"/>
          <w:lang w:val="en-US"/>
        </w:rPr>
        <w:t xml:space="preserve">m. in. w Harvard University, University of Cambridge, Oxford University, KU Leuven, University of Zurich. </w:t>
      </w:r>
      <w:r w:rsidRPr="005C0274">
        <w:rPr>
          <w:rFonts w:ascii="Times New Roman" w:hAnsi="Times New Roman"/>
          <w:sz w:val="24"/>
          <w:szCs w:val="24"/>
        </w:rPr>
        <w:t>Przypomniano także ustalenia Komisji w sprawie konfliktu interesów przyjęte w 2016 r. po spotkaniu z ekspertem dr</w:t>
      </w:r>
      <w:r>
        <w:rPr>
          <w:rFonts w:ascii="Times New Roman" w:hAnsi="Times New Roman"/>
          <w:sz w:val="24"/>
          <w:szCs w:val="24"/>
        </w:rPr>
        <w:t>.</w:t>
      </w:r>
      <w:r w:rsidRPr="005C0274">
        <w:rPr>
          <w:rFonts w:ascii="Times New Roman" w:hAnsi="Times New Roman"/>
          <w:sz w:val="24"/>
          <w:szCs w:val="24"/>
        </w:rPr>
        <w:t xml:space="preserve"> Krzysztofem </w:t>
      </w:r>
      <w:proofErr w:type="spellStart"/>
      <w:r w:rsidRPr="005C0274">
        <w:rPr>
          <w:rFonts w:ascii="Times New Roman" w:hAnsi="Times New Roman"/>
          <w:sz w:val="24"/>
          <w:szCs w:val="24"/>
        </w:rPr>
        <w:t>Chlebusem</w:t>
      </w:r>
      <w:proofErr w:type="spellEnd"/>
      <w:r w:rsidRPr="005C0274">
        <w:rPr>
          <w:rFonts w:ascii="Times New Roman" w:hAnsi="Times New Roman"/>
          <w:sz w:val="24"/>
          <w:szCs w:val="24"/>
        </w:rPr>
        <w:t xml:space="preserve"> z Gdańskiego Uniwersytetu Medycznego (ówczesnym Prezesem Zarządu Spółki – Centrum Innowacji Medycznych, Pełnomocnikiem Rektora do spraw transferu wiedzy</w:t>
      </w:r>
      <w:r>
        <w:rPr>
          <w:rFonts w:ascii="Times New Roman" w:hAnsi="Times New Roman"/>
          <w:sz w:val="24"/>
          <w:szCs w:val="24"/>
        </w:rPr>
        <w:t>)</w:t>
      </w:r>
      <w:r w:rsidRPr="005C0274">
        <w:rPr>
          <w:rFonts w:ascii="Times New Roman" w:hAnsi="Times New Roman"/>
          <w:sz w:val="24"/>
          <w:szCs w:val="24"/>
        </w:rPr>
        <w:t xml:space="preserve">. W nowej edycji </w:t>
      </w:r>
      <w:r w:rsidRPr="005C0274">
        <w:rPr>
          <w:rFonts w:ascii="Times New Roman" w:hAnsi="Times New Roman"/>
          <w:i/>
          <w:sz w:val="24"/>
          <w:szCs w:val="24"/>
        </w:rPr>
        <w:t>Kodeksu etyki pracownika naukowego</w:t>
      </w:r>
      <w:r w:rsidRPr="005C0274">
        <w:rPr>
          <w:rFonts w:ascii="Times New Roman" w:hAnsi="Times New Roman"/>
          <w:sz w:val="24"/>
          <w:szCs w:val="24"/>
        </w:rPr>
        <w:t xml:space="preserve"> doprecyzowano uregulowania dotyczące konfliktu interesów. Wprowadzono m.in. zapis zbliżony do deklaracji składanych w wysokiej rangi uczelniach zagranicznych  i instytucjach naukowych – „</w:t>
      </w:r>
      <w:proofErr w:type="spellStart"/>
      <w:r w:rsidRPr="005C0274">
        <w:rPr>
          <w:rFonts w:ascii="Times New Roman" w:hAnsi="Times New Roman"/>
          <w:sz w:val="24"/>
          <w:szCs w:val="24"/>
        </w:rPr>
        <w:t>declaration</w:t>
      </w:r>
      <w:proofErr w:type="spellEnd"/>
      <w:r w:rsidRPr="005C0274">
        <w:rPr>
          <w:rFonts w:ascii="Times New Roman" w:hAnsi="Times New Roman"/>
          <w:sz w:val="24"/>
          <w:szCs w:val="24"/>
        </w:rPr>
        <w:t xml:space="preserve"> of </w:t>
      </w:r>
      <w:proofErr w:type="spellStart"/>
      <w:r w:rsidRPr="005C0274">
        <w:rPr>
          <w:rFonts w:ascii="Times New Roman" w:hAnsi="Times New Roman"/>
          <w:sz w:val="24"/>
          <w:szCs w:val="24"/>
        </w:rPr>
        <w:t>conflict</w:t>
      </w:r>
      <w:proofErr w:type="spellEnd"/>
      <w:r w:rsidRPr="005C0274">
        <w:rPr>
          <w:rFonts w:ascii="Times New Roman" w:hAnsi="Times New Roman"/>
          <w:sz w:val="24"/>
          <w:szCs w:val="24"/>
        </w:rPr>
        <w:t xml:space="preserve"> of </w:t>
      </w:r>
      <w:proofErr w:type="spellStart"/>
      <w:r w:rsidRPr="005C0274">
        <w:rPr>
          <w:rFonts w:ascii="Times New Roman" w:hAnsi="Times New Roman"/>
          <w:sz w:val="24"/>
          <w:szCs w:val="24"/>
        </w:rPr>
        <w:t>interest</w:t>
      </w:r>
      <w:proofErr w:type="spellEnd"/>
      <w:r w:rsidRPr="005C0274">
        <w:rPr>
          <w:rFonts w:ascii="Times New Roman" w:hAnsi="Times New Roman"/>
          <w:sz w:val="24"/>
          <w:szCs w:val="24"/>
        </w:rPr>
        <w:t xml:space="preserve">”. Zgodnie z pkt 3.7. </w:t>
      </w:r>
      <w:proofErr w:type="spellStart"/>
      <w:r w:rsidRPr="005C0274">
        <w:rPr>
          <w:rFonts w:ascii="Times New Roman" w:hAnsi="Times New Roman"/>
          <w:sz w:val="24"/>
          <w:szCs w:val="24"/>
        </w:rPr>
        <w:t>ppkt</w:t>
      </w:r>
      <w:proofErr w:type="spellEnd"/>
      <w:r w:rsidRPr="005C0274">
        <w:rPr>
          <w:rFonts w:ascii="Times New Roman" w:hAnsi="Times New Roman"/>
          <w:sz w:val="24"/>
          <w:szCs w:val="24"/>
        </w:rPr>
        <w:t xml:space="preserve"> 6 </w:t>
      </w:r>
      <w:r w:rsidRPr="005C0274">
        <w:rPr>
          <w:rFonts w:ascii="Times New Roman" w:hAnsi="Times New Roman"/>
          <w:i/>
          <w:sz w:val="24"/>
          <w:szCs w:val="24"/>
        </w:rPr>
        <w:t xml:space="preserve">Kodeksu </w:t>
      </w:r>
      <w:r w:rsidRPr="005C0274">
        <w:rPr>
          <w:rFonts w:ascii="Times New Roman" w:hAnsi="Times New Roman"/>
          <w:sz w:val="24"/>
          <w:szCs w:val="24"/>
        </w:rPr>
        <w:t xml:space="preserve">„pracownicy naukowi powinni składać coroczne deklaracje dotyczące konfliktu interesów swemu pracodawcy, zaś w przypadku zaistnienia takiej sytuacji stosować się do otrzymanych wskazówek co do konieczności wprowadzenia niezbędnych zmian”. Przewodniczący </w:t>
      </w:r>
      <w:proofErr w:type="spellStart"/>
      <w:r w:rsidRPr="005C0274">
        <w:rPr>
          <w:rFonts w:ascii="Times New Roman" w:hAnsi="Times New Roman"/>
          <w:sz w:val="24"/>
          <w:szCs w:val="24"/>
        </w:rPr>
        <w:t>KEwN</w:t>
      </w:r>
      <w:proofErr w:type="spellEnd"/>
      <w:r w:rsidRPr="005C0274">
        <w:rPr>
          <w:rFonts w:ascii="Times New Roman" w:hAnsi="Times New Roman"/>
          <w:sz w:val="24"/>
          <w:szCs w:val="24"/>
        </w:rPr>
        <w:t xml:space="preserve"> uważa, że wprowadzenie tego wymogu do Kodeksu stanowi bardzo istotny wkład Komisji w działalność  na rzecz zachowania wysokich standardów etycznych</w:t>
      </w:r>
      <w:r w:rsidRPr="005C0274">
        <w:rPr>
          <w:rFonts w:ascii="Times New Roman" w:hAnsi="Times New Roman"/>
          <w:i/>
          <w:iCs/>
          <w:sz w:val="24"/>
          <w:szCs w:val="24"/>
        </w:rPr>
        <w:t>.</w:t>
      </w:r>
    </w:p>
    <w:p w14:paraId="6EEE751A" w14:textId="2F9A165D"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lastRenderedPageBreak/>
        <w:t xml:space="preserve">Członkowie Komisji uznali również, że najlepszym rozwiązaniem jest zapobieganie </w:t>
      </w:r>
      <w:r w:rsidR="00A361A9">
        <w:rPr>
          <w:rFonts w:ascii="Times New Roman" w:hAnsi="Times New Roman"/>
          <w:sz w:val="24"/>
          <w:szCs w:val="24"/>
        </w:rPr>
        <w:br/>
      </w:r>
      <w:r w:rsidRPr="005C0274">
        <w:rPr>
          <w:rFonts w:ascii="Times New Roman" w:hAnsi="Times New Roman"/>
          <w:sz w:val="24"/>
          <w:szCs w:val="24"/>
        </w:rPr>
        <w:t xml:space="preserve">powstaniu konfliktu interesów i każda instytucja powinna sama sprecyzować, jakich </w:t>
      </w:r>
      <w:r w:rsidR="00A361A9">
        <w:rPr>
          <w:rFonts w:ascii="Times New Roman" w:hAnsi="Times New Roman"/>
          <w:sz w:val="24"/>
          <w:szCs w:val="24"/>
        </w:rPr>
        <w:br/>
      </w:r>
      <w:r w:rsidRPr="005C0274">
        <w:rPr>
          <w:rFonts w:ascii="Times New Roman" w:hAnsi="Times New Roman"/>
          <w:sz w:val="24"/>
          <w:szCs w:val="24"/>
        </w:rPr>
        <w:t>stanowisk nie należy łączyć, by nie powstał konflikt interesów i określić to w wewnętrznych regulacjach.</w:t>
      </w:r>
    </w:p>
    <w:p w14:paraId="4D0F52DE" w14:textId="4558B02C" w:rsidR="001120BC" w:rsidRPr="005C0274" w:rsidRDefault="001120BC" w:rsidP="001120BC">
      <w:pPr>
        <w:pStyle w:val="Akapitzlist"/>
        <w:spacing w:before="240" w:after="0" w:line="360" w:lineRule="auto"/>
        <w:ind w:left="0"/>
        <w:jc w:val="both"/>
        <w:rPr>
          <w:rFonts w:ascii="Times New Roman" w:hAnsi="Times New Roman"/>
          <w:i/>
          <w:sz w:val="24"/>
          <w:szCs w:val="24"/>
        </w:rPr>
      </w:pPr>
      <w:proofErr w:type="spellStart"/>
      <w:r w:rsidRPr="005C0274">
        <w:rPr>
          <w:rFonts w:ascii="Times New Roman" w:hAnsi="Times New Roman"/>
          <w:sz w:val="24"/>
          <w:szCs w:val="24"/>
        </w:rPr>
        <w:t>KEwN</w:t>
      </w:r>
      <w:proofErr w:type="spellEnd"/>
      <w:r w:rsidRPr="005C0274">
        <w:rPr>
          <w:rFonts w:ascii="Times New Roman" w:hAnsi="Times New Roman"/>
          <w:sz w:val="24"/>
          <w:szCs w:val="24"/>
        </w:rPr>
        <w:t xml:space="preserve"> kontynuowała skutecznie działania w sprawie </w:t>
      </w:r>
      <w:r w:rsidRPr="005C0274">
        <w:rPr>
          <w:rFonts w:ascii="Times New Roman" w:eastAsia="Times New Roman" w:hAnsi="Times New Roman"/>
          <w:sz w:val="24"/>
          <w:szCs w:val="24"/>
          <w:lang w:eastAsia="pl-PL"/>
        </w:rPr>
        <w:t xml:space="preserve">statusu tzw. „emerytowanego </w:t>
      </w:r>
      <w:r w:rsidR="00A361A9">
        <w:rPr>
          <w:rFonts w:ascii="Times New Roman" w:eastAsia="Times New Roman" w:hAnsi="Times New Roman"/>
          <w:sz w:val="24"/>
          <w:szCs w:val="24"/>
          <w:lang w:eastAsia="pl-PL"/>
        </w:rPr>
        <w:br/>
      </w:r>
      <w:r w:rsidRPr="005C0274">
        <w:rPr>
          <w:rFonts w:ascii="Times New Roman" w:eastAsia="Times New Roman" w:hAnsi="Times New Roman"/>
          <w:sz w:val="24"/>
          <w:szCs w:val="24"/>
          <w:lang w:eastAsia="pl-PL"/>
        </w:rPr>
        <w:t xml:space="preserve">profesora”. W korespondencji z Ministerstwem Nauki i Szkolnictwa Wyższego Komisja ponownie </w:t>
      </w:r>
      <w:r w:rsidRPr="005C0274">
        <w:rPr>
          <w:rFonts w:ascii="Times New Roman" w:hAnsi="Times New Roman"/>
          <w:sz w:val="24"/>
          <w:szCs w:val="24"/>
        </w:rPr>
        <w:t xml:space="preserve">poparła ideę wprowadzenia ustawowego uregulowania statusu „profesora emerytowanego” przy okazji dokonywania zmian systemowych ustawy – </w:t>
      </w:r>
      <w:r w:rsidRPr="005C0274">
        <w:rPr>
          <w:rFonts w:ascii="Times New Roman" w:hAnsi="Times New Roman"/>
          <w:i/>
          <w:sz w:val="24"/>
          <w:szCs w:val="24"/>
        </w:rPr>
        <w:t xml:space="preserve">Prawo </w:t>
      </w:r>
      <w:r>
        <w:rPr>
          <w:rFonts w:ascii="Times New Roman" w:hAnsi="Times New Roman"/>
          <w:i/>
          <w:sz w:val="24"/>
          <w:szCs w:val="24"/>
        </w:rPr>
        <w:br/>
      </w:r>
      <w:r w:rsidRPr="005C0274">
        <w:rPr>
          <w:rFonts w:ascii="Times New Roman" w:hAnsi="Times New Roman"/>
          <w:i/>
          <w:sz w:val="24"/>
          <w:szCs w:val="24"/>
        </w:rPr>
        <w:t xml:space="preserve">o szkolnictwie wyższym i nauce, </w:t>
      </w:r>
      <w:r w:rsidRPr="005C0274">
        <w:rPr>
          <w:rFonts w:ascii="Times New Roman" w:hAnsi="Times New Roman"/>
          <w:sz w:val="24"/>
          <w:szCs w:val="24"/>
        </w:rPr>
        <w:t xml:space="preserve">i zadeklarowała chęć udziału w opracowywaniu projektu przepisów w tym przedmiocie. </w:t>
      </w:r>
    </w:p>
    <w:p w14:paraId="5FEAE231" w14:textId="766B5F46" w:rsidR="001120BC" w:rsidRPr="005C0274" w:rsidRDefault="001120BC" w:rsidP="001120BC">
      <w:pPr>
        <w:spacing w:after="0" w:line="360" w:lineRule="auto"/>
        <w:ind w:hanging="10"/>
        <w:jc w:val="both"/>
        <w:rPr>
          <w:rFonts w:ascii="Times New Roman" w:hAnsi="Times New Roman"/>
          <w:sz w:val="24"/>
          <w:szCs w:val="24"/>
        </w:rPr>
      </w:pPr>
      <w:r w:rsidRPr="005C0274">
        <w:rPr>
          <w:rFonts w:ascii="Times New Roman" w:hAnsi="Times New Roman"/>
          <w:sz w:val="24"/>
          <w:szCs w:val="24"/>
        </w:rPr>
        <w:t xml:space="preserve">Jednocześnie Komisja wystosowała pismo do władz uczelni z prośbą o rozważenie wprowadzenie przepisów zapewniających przechodzącemu na emeryturę profesorowi </w:t>
      </w:r>
      <w:r w:rsidR="00A361A9">
        <w:rPr>
          <w:rFonts w:ascii="Times New Roman" w:hAnsi="Times New Roman"/>
          <w:sz w:val="24"/>
          <w:szCs w:val="24"/>
        </w:rPr>
        <w:br/>
      </w:r>
      <w:r w:rsidRPr="005C0274">
        <w:rPr>
          <w:rFonts w:ascii="Times New Roman" w:hAnsi="Times New Roman"/>
          <w:sz w:val="24"/>
          <w:szCs w:val="24"/>
        </w:rPr>
        <w:t>warunki do prowadzenia dalszej pracy naukowej.</w:t>
      </w:r>
    </w:p>
    <w:p w14:paraId="50F45FF2" w14:textId="77777777" w:rsidR="001120BC" w:rsidRPr="005C0274" w:rsidRDefault="001120BC" w:rsidP="001120BC">
      <w:pPr>
        <w:pStyle w:val="Akapitzlist"/>
        <w:spacing w:after="0" w:line="360" w:lineRule="auto"/>
        <w:ind w:left="0"/>
        <w:jc w:val="both"/>
        <w:rPr>
          <w:rFonts w:ascii="Times New Roman" w:hAnsi="Times New Roman"/>
          <w:sz w:val="24"/>
          <w:szCs w:val="24"/>
        </w:rPr>
      </w:pPr>
      <w:r w:rsidRPr="005C0274">
        <w:rPr>
          <w:rFonts w:ascii="Times New Roman" w:hAnsi="Times New Roman"/>
          <w:sz w:val="24"/>
          <w:szCs w:val="24"/>
        </w:rPr>
        <w:t xml:space="preserve">Na pismo Komisji odpowiedziało kilka uczelni - Chrześcijańska Akademia Teologiczna </w:t>
      </w:r>
      <w:r>
        <w:rPr>
          <w:rFonts w:ascii="Times New Roman" w:hAnsi="Times New Roman"/>
          <w:sz w:val="24"/>
          <w:szCs w:val="24"/>
        </w:rPr>
        <w:br/>
      </w:r>
      <w:r w:rsidRPr="005C0274">
        <w:rPr>
          <w:rFonts w:ascii="Times New Roman" w:hAnsi="Times New Roman"/>
          <w:sz w:val="24"/>
          <w:szCs w:val="24"/>
        </w:rPr>
        <w:t xml:space="preserve">w Warszawie, Uniwersytet im. Adama Mickiewicza w Poznaniu oraz Szkoła Główna Gospodarstwa Wiejskiego w Warszawie. </w:t>
      </w:r>
      <w:r w:rsidRPr="005C0274">
        <w:rPr>
          <w:rFonts w:ascii="Times New Roman" w:hAnsi="Times New Roman"/>
          <w:noProof/>
          <w:sz w:val="24"/>
          <w:szCs w:val="24"/>
          <w:lang w:eastAsia="pl-PL"/>
        </w:rPr>
        <w:drawing>
          <wp:anchor distT="0" distB="0" distL="114300" distR="114300" simplePos="0" relativeHeight="251659264" behindDoc="0" locked="0" layoutInCell="1" allowOverlap="0" wp14:anchorId="07096FBC" wp14:editId="101034E0">
            <wp:simplePos x="0" y="0"/>
            <wp:positionH relativeFrom="page">
              <wp:posOffset>5648325</wp:posOffset>
            </wp:positionH>
            <wp:positionV relativeFrom="page">
              <wp:posOffset>10208895</wp:posOffset>
            </wp:positionV>
            <wp:extent cx="3175" cy="3175"/>
            <wp:effectExtent l="0" t="0" r="0" b="0"/>
            <wp:wrapSquare wrapText="bothSides"/>
            <wp:docPr id="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 cy="3175"/>
                    </a:xfrm>
                    <a:prstGeom prst="rect">
                      <a:avLst/>
                    </a:prstGeom>
                    <a:noFill/>
                    <a:ln>
                      <a:noFill/>
                    </a:ln>
                  </pic:spPr>
                </pic:pic>
              </a:graphicData>
            </a:graphic>
          </wp:anchor>
        </w:drawing>
      </w:r>
      <w:r w:rsidRPr="005C0274">
        <w:rPr>
          <w:rFonts w:ascii="Times New Roman" w:hAnsi="Times New Roman"/>
          <w:sz w:val="24"/>
          <w:szCs w:val="24"/>
        </w:rPr>
        <w:t xml:space="preserve">SGGW wprowadziła zmianę w projekcie Statutu dotyczącą możliwości przyznawania statusu profesora emerytowanego, do którego stosuje się odpowiednio przepisy o wolontariacie” oraz o planowanym wprowadzeniu zarządzenia </w:t>
      </w:r>
      <w:r>
        <w:rPr>
          <w:rFonts w:ascii="Times New Roman" w:hAnsi="Times New Roman"/>
          <w:sz w:val="24"/>
          <w:szCs w:val="24"/>
        </w:rPr>
        <w:br/>
      </w:r>
      <w:r w:rsidRPr="005C0274">
        <w:rPr>
          <w:rFonts w:ascii="Times New Roman" w:hAnsi="Times New Roman"/>
          <w:sz w:val="24"/>
          <w:szCs w:val="24"/>
        </w:rPr>
        <w:t>w sprawie zasad przyznawania statusu profesora emerytowanego SGGW w Warszawie oraz uprawnień przysługujących profesorom emerytowanym.</w:t>
      </w:r>
      <w:r>
        <w:rPr>
          <w:rFonts w:ascii="Times New Roman" w:hAnsi="Times New Roman"/>
          <w:sz w:val="24"/>
          <w:szCs w:val="24"/>
        </w:rPr>
        <w:t xml:space="preserve"> </w:t>
      </w:r>
      <w:r w:rsidRPr="005C0274">
        <w:rPr>
          <w:rFonts w:ascii="Times New Roman" w:hAnsi="Times New Roman"/>
          <w:sz w:val="24"/>
          <w:szCs w:val="24"/>
        </w:rPr>
        <w:t>Władze Uniwersytetu im. Adama Mickiewicza w Poznaniu wyjaśniły, iż od 1 stycznia 2007 r. obowiązuje Uchwała Senatu regulująca status emerytowanych profesorów tzw. profesorów seniorów.</w:t>
      </w:r>
      <w:r>
        <w:rPr>
          <w:rFonts w:ascii="Times New Roman" w:hAnsi="Times New Roman"/>
          <w:sz w:val="24"/>
          <w:szCs w:val="24"/>
        </w:rPr>
        <w:t xml:space="preserve"> </w:t>
      </w:r>
      <w:r w:rsidRPr="005C0274">
        <w:rPr>
          <w:rFonts w:ascii="Times New Roman" w:hAnsi="Times New Roman"/>
          <w:sz w:val="24"/>
          <w:szCs w:val="24"/>
        </w:rPr>
        <w:t xml:space="preserve">Natomiast Rektor Chrześcijańskiej Akademii Teologicznej w Warszawie zapewnił, że w tej Uczelni nigdy nie miały miejsca sygnalizowane przez Komisję problemy w relacjach pomiędzy profesorami emerytami i środowiskiem uczelnianym. W związku z tym władze </w:t>
      </w:r>
      <w:proofErr w:type="spellStart"/>
      <w:r w:rsidRPr="005C0274">
        <w:rPr>
          <w:rFonts w:ascii="Times New Roman" w:hAnsi="Times New Roman"/>
          <w:sz w:val="24"/>
          <w:szCs w:val="24"/>
        </w:rPr>
        <w:t>ChAT</w:t>
      </w:r>
      <w:proofErr w:type="spellEnd"/>
      <w:r w:rsidRPr="005C0274">
        <w:rPr>
          <w:rFonts w:ascii="Times New Roman" w:hAnsi="Times New Roman"/>
          <w:sz w:val="24"/>
          <w:szCs w:val="24"/>
        </w:rPr>
        <w:t xml:space="preserve"> nie widzą potrzeby wprowadzania odrębnych przepisów w zakresie przyznania określonych uprawnień „profesorom emerytowanym”.</w:t>
      </w:r>
    </w:p>
    <w:p w14:paraId="4A11A134" w14:textId="19A8809A"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Jedną ze spraw, która wzbudza liczne wątpliwości w środowisku naukowym jest kwestia jawności recenzji artykułów. Problem ten był zgłaszany Komisji przede wszystkim przez autorów artykułów zaopiniowanych negatywnie. Także Stanisław Trociuk, Zastępca </w:t>
      </w:r>
      <w:r w:rsidR="00A361A9">
        <w:rPr>
          <w:rFonts w:ascii="Times New Roman" w:hAnsi="Times New Roman"/>
          <w:sz w:val="24"/>
          <w:szCs w:val="24"/>
        </w:rPr>
        <w:br/>
      </w:r>
      <w:r w:rsidRPr="005C0274">
        <w:rPr>
          <w:rFonts w:ascii="Times New Roman" w:hAnsi="Times New Roman"/>
          <w:sz w:val="24"/>
          <w:szCs w:val="24"/>
        </w:rPr>
        <w:t xml:space="preserve">Rzecznika Praw Obywatelskich zwrócił uwagę na pojawiające się skargi, że w naukowych czasopismach prawniczych redakcje jedynie informują autorów artykułów, czy recenzja jest pozytywna czy negatywna. W związku z tym Zastępca Rzecznika Dyscyplinarnego zwrócił </w:t>
      </w:r>
      <w:r w:rsidR="00A361A9">
        <w:rPr>
          <w:rFonts w:ascii="Times New Roman" w:hAnsi="Times New Roman"/>
          <w:sz w:val="24"/>
          <w:szCs w:val="24"/>
        </w:rPr>
        <w:br/>
      </w:r>
      <w:r w:rsidRPr="005C0274">
        <w:rPr>
          <w:rFonts w:ascii="Times New Roman" w:hAnsi="Times New Roman"/>
          <w:sz w:val="24"/>
          <w:szCs w:val="24"/>
        </w:rPr>
        <w:lastRenderedPageBreak/>
        <w:t xml:space="preserve">się z prośbą o opinię </w:t>
      </w:r>
      <w:proofErr w:type="spellStart"/>
      <w:r w:rsidRPr="005C0274">
        <w:rPr>
          <w:rFonts w:ascii="Times New Roman" w:hAnsi="Times New Roman"/>
          <w:sz w:val="24"/>
          <w:szCs w:val="24"/>
        </w:rPr>
        <w:t>KEwN</w:t>
      </w:r>
      <w:proofErr w:type="spellEnd"/>
      <w:r w:rsidRPr="005C0274">
        <w:rPr>
          <w:rFonts w:ascii="Times New Roman" w:hAnsi="Times New Roman"/>
          <w:sz w:val="24"/>
          <w:szCs w:val="24"/>
        </w:rPr>
        <w:t xml:space="preserve"> „czy istnieje potrzeba rewizji dotychczasowych zasad </w:t>
      </w:r>
      <w:r w:rsidR="00A361A9">
        <w:rPr>
          <w:rFonts w:ascii="Times New Roman" w:hAnsi="Times New Roman"/>
          <w:sz w:val="24"/>
          <w:szCs w:val="24"/>
        </w:rPr>
        <w:br/>
      </w:r>
      <w:r w:rsidRPr="005C0274">
        <w:rPr>
          <w:rFonts w:ascii="Times New Roman" w:hAnsi="Times New Roman"/>
          <w:sz w:val="24"/>
          <w:szCs w:val="24"/>
        </w:rPr>
        <w:t xml:space="preserve">sporządzania recenzji naukowych bądź potrzeba wprowadzenia innych, poza dobrymi praktykami, mechanizmów służących zapewnieniu transparentności procedury recenzowania artykułów naukowych”. W ocenie </w:t>
      </w:r>
      <w:proofErr w:type="spellStart"/>
      <w:r w:rsidRPr="005C0274">
        <w:rPr>
          <w:rFonts w:ascii="Times New Roman" w:hAnsi="Times New Roman"/>
          <w:sz w:val="24"/>
          <w:szCs w:val="24"/>
        </w:rPr>
        <w:t>KEwN</w:t>
      </w:r>
      <w:proofErr w:type="spellEnd"/>
      <w:r w:rsidRPr="005C0274">
        <w:rPr>
          <w:rFonts w:ascii="Times New Roman" w:hAnsi="Times New Roman"/>
          <w:sz w:val="24"/>
          <w:szCs w:val="24"/>
        </w:rPr>
        <w:t xml:space="preserve"> opisana praktyka, polegająca jedynie na </w:t>
      </w:r>
      <w:r w:rsidR="00A361A9">
        <w:rPr>
          <w:rFonts w:ascii="Times New Roman" w:hAnsi="Times New Roman"/>
          <w:sz w:val="24"/>
          <w:szCs w:val="24"/>
        </w:rPr>
        <w:br/>
      </w:r>
      <w:r w:rsidRPr="005C0274">
        <w:rPr>
          <w:rFonts w:ascii="Times New Roman" w:hAnsi="Times New Roman"/>
          <w:sz w:val="24"/>
          <w:szCs w:val="24"/>
        </w:rPr>
        <w:t xml:space="preserve">przekazaniu informacji czy recenzja jest pozytywna czy negatywna, bez dołączania treści recenzji, nie powinna być stosowana. Jako przykład do naśladowania wskazano redakcję </w:t>
      </w:r>
      <w:r w:rsidRPr="005C0274">
        <w:rPr>
          <w:rFonts w:ascii="Times New Roman" w:hAnsi="Times New Roman"/>
          <w:i/>
          <w:sz w:val="24"/>
          <w:szCs w:val="24"/>
        </w:rPr>
        <w:t xml:space="preserve">Nature, </w:t>
      </w:r>
      <w:r w:rsidRPr="005C0274">
        <w:rPr>
          <w:rFonts w:ascii="Times New Roman" w:hAnsi="Times New Roman"/>
          <w:sz w:val="24"/>
          <w:szCs w:val="24"/>
        </w:rPr>
        <w:t>która od 2020 r.</w:t>
      </w:r>
      <w:r w:rsidRPr="005C0274">
        <w:rPr>
          <w:rFonts w:ascii="Times New Roman" w:hAnsi="Times New Roman"/>
          <w:i/>
          <w:sz w:val="24"/>
          <w:szCs w:val="24"/>
        </w:rPr>
        <w:t xml:space="preserve"> </w:t>
      </w:r>
      <w:r w:rsidRPr="005C0274">
        <w:rPr>
          <w:rFonts w:ascii="Times New Roman" w:hAnsi="Times New Roman"/>
          <w:sz w:val="24"/>
          <w:szCs w:val="24"/>
        </w:rPr>
        <w:t xml:space="preserve">zamieszcza recenzje on-line, bez podawania ich autorów. </w:t>
      </w:r>
      <w:r w:rsidR="00A361A9">
        <w:rPr>
          <w:rFonts w:ascii="Times New Roman" w:hAnsi="Times New Roman"/>
          <w:sz w:val="24"/>
          <w:szCs w:val="24"/>
        </w:rPr>
        <w:br/>
      </w:r>
      <w:r w:rsidRPr="005C0274">
        <w:rPr>
          <w:rFonts w:ascii="Times New Roman" w:hAnsi="Times New Roman"/>
          <w:sz w:val="24"/>
          <w:szCs w:val="24"/>
        </w:rPr>
        <w:t xml:space="preserve">Członkowie Komisji uważali za wskazane wprowadzenie przez redakcje polskich czasopism naukowych zasady </w:t>
      </w:r>
      <w:proofErr w:type="spellStart"/>
      <w:r w:rsidRPr="005C0274">
        <w:rPr>
          <w:rFonts w:ascii="Times New Roman" w:hAnsi="Times New Roman"/>
          <w:sz w:val="24"/>
          <w:szCs w:val="24"/>
        </w:rPr>
        <w:t>double</w:t>
      </w:r>
      <w:proofErr w:type="spellEnd"/>
      <w:r w:rsidRPr="005C0274">
        <w:rPr>
          <w:rFonts w:ascii="Times New Roman" w:hAnsi="Times New Roman"/>
          <w:sz w:val="24"/>
          <w:szCs w:val="24"/>
        </w:rPr>
        <w:t xml:space="preserve"> blind </w:t>
      </w:r>
      <w:proofErr w:type="spellStart"/>
      <w:r w:rsidRPr="005C0274">
        <w:rPr>
          <w:rFonts w:ascii="Times New Roman" w:hAnsi="Times New Roman"/>
          <w:sz w:val="24"/>
          <w:szCs w:val="24"/>
        </w:rPr>
        <w:t>peer</w:t>
      </w:r>
      <w:proofErr w:type="spellEnd"/>
      <w:r w:rsidRPr="005C0274">
        <w:rPr>
          <w:rFonts w:ascii="Times New Roman" w:hAnsi="Times New Roman"/>
          <w:sz w:val="24"/>
          <w:szCs w:val="24"/>
        </w:rPr>
        <w:t xml:space="preserve"> </w:t>
      </w:r>
      <w:proofErr w:type="spellStart"/>
      <w:r w:rsidRPr="005C0274">
        <w:rPr>
          <w:rFonts w:ascii="Times New Roman" w:hAnsi="Times New Roman"/>
          <w:sz w:val="24"/>
          <w:szCs w:val="24"/>
        </w:rPr>
        <w:t>review</w:t>
      </w:r>
      <w:proofErr w:type="spellEnd"/>
      <w:r w:rsidRPr="005C0274">
        <w:rPr>
          <w:rFonts w:ascii="Times New Roman" w:hAnsi="Times New Roman"/>
          <w:sz w:val="24"/>
          <w:szCs w:val="24"/>
        </w:rPr>
        <w:t xml:space="preserve"> (autor nie wie kto go recenzuje i recenzent nie </w:t>
      </w:r>
      <w:r w:rsidR="00A361A9">
        <w:rPr>
          <w:rFonts w:ascii="Times New Roman" w:hAnsi="Times New Roman"/>
          <w:sz w:val="24"/>
          <w:szCs w:val="24"/>
        </w:rPr>
        <w:br/>
      </w:r>
      <w:r w:rsidRPr="005C0274">
        <w:rPr>
          <w:rFonts w:ascii="Times New Roman" w:hAnsi="Times New Roman"/>
          <w:sz w:val="24"/>
          <w:szCs w:val="24"/>
        </w:rPr>
        <w:t xml:space="preserve">wie kogo recenzuje) i wysyłanie autorom zanonimizowanych recenzji, aby mogli się do nich ustosunkować. </w:t>
      </w:r>
    </w:p>
    <w:p w14:paraId="21621D03" w14:textId="77777777"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t xml:space="preserve">Byłoby to także zgodne z uchwalonym przez komitet ds. etyki przy KBN dokumentem </w:t>
      </w:r>
      <w:r>
        <w:rPr>
          <w:rFonts w:ascii="Times New Roman" w:hAnsi="Times New Roman"/>
          <w:sz w:val="24"/>
          <w:szCs w:val="24"/>
        </w:rPr>
        <w:br/>
      </w:r>
      <w:r w:rsidRPr="005C0274">
        <w:rPr>
          <w:rFonts w:ascii="Times New Roman" w:hAnsi="Times New Roman"/>
          <w:sz w:val="24"/>
          <w:szCs w:val="24"/>
        </w:rPr>
        <w:t>o poufności  w procedurach recenzyjnych.</w:t>
      </w:r>
    </w:p>
    <w:p w14:paraId="4BFFBCC1" w14:textId="0CC2389E" w:rsidR="001120BC" w:rsidRPr="005C0274" w:rsidRDefault="001120BC" w:rsidP="001120BC">
      <w:pPr>
        <w:pStyle w:val="NormalnyWeb"/>
        <w:spacing w:before="240" w:line="360" w:lineRule="auto"/>
        <w:jc w:val="both"/>
      </w:pPr>
      <w:r w:rsidRPr="005C0274">
        <w:t xml:space="preserve">W związku z pismem dr Anny Budzanowskiej, Podsekretarz Stanu w Ministerstwie Nauki </w:t>
      </w:r>
      <w:r>
        <w:br/>
      </w:r>
      <w:r w:rsidRPr="005C0274">
        <w:t xml:space="preserve">i Szkolnictwa Wyższego o wydanie przez Komisję opinii w sprawie „dotyczącej pełnienia </w:t>
      </w:r>
      <w:r w:rsidR="00A361A9">
        <w:br/>
      </w:r>
      <w:r w:rsidRPr="005C0274">
        <w:t xml:space="preserve">przez Pana Profesora (…)  funkcji Rektora (…) w kontekście podejrzenia współpracy </w:t>
      </w:r>
      <w:r>
        <w:br/>
      </w:r>
      <w:r w:rsidRPr="005C0274">
        <w:t>z organami bezpieczeństwa państwa z lat 1944-1990 pod pseudonimem TW „</w:t>
      </w:r>
      <w:r>
        <w:t>X</w:t>
      </w:r>
      <w:r w:rsidRPr="005C0274">
        <w:t xml:space="preserve">” </w:t>
      </w:r>
      <w:r>
        <w:br/>
      </w:r>
      <w:r w:rsidRPr="005C0274">
        <w:t xml:space="preserve">i popełnienia kłamstwa lustracyjnego”, Komisja uznała że wydanie opinii we wskazanej </w:t>
      </w:r>
      <w:r w:rsidR="00A361A9">
        <w:br/>
      </w:r>
      <w:r w:rsidRPr="005C0274">
        <w:t xml:space="preserve">kwestii wykracza poza ustawowe zadania Komisji”, ponieważ „ewentualne złożenie niezgodnego z prawdą oświadczenia lustracyjnego nie powinno być rozpatrywane w kategorii przewinienia etycznego, a powinno zostać wyjaśnione w postępowaniu lustracyjnym przez sąd”. Zgodzono się także z opinią Podsekretarz Stanu, że „zarówno samo złożenie </w:t>
      </w:r>
      <w:r w:rsidR="00A361A9">
        <w:br/>
      </w:r>
      <w:r w:rsidRPr="005C0274">
        <w:t xml:space="preserve">niezgodnego z prawdą oświadczenia lustracyjnego, jak i podejmowanie działań mających na celu uniknięcie konsekwencji złożenia takiego oświadczenia, a także kandydowanie </w:t>
      </w:r>
      <w:r>
        <w:br/>
      </w:r>
      <w:r w:rsidRPr="005C0274">
        <w:t xml:space="preserve">i ponowne objęcie funkcji rektora przez osobę podejrzaną o złożenie niezgodnego z prawdą oświadczenia lustracyjnego może budzić uzasadnione wątpliwości zarówno z punku widzenia prawnego, jak i moralnego.”. </w:t>
      </w:r>
    </w:p>
    <w:p w14:paraId="2CF90896" w14:textId="77777777" w:rsidR="001120BC" w:rsidRPr="00A361A9" w:rsidRDefault="001120BC" w:rsidP="001120BC">
      <w:pPr>
        <w:pStyle w:val="Pa0"/>
        <w:spacing w:before="240" w:line="360" w:lineRule="auto"/>
        <w:jc w:val="both"/>
        <w:rPr>
          <w:rStyle w:val="A2"/>
          <w:rFonts w:ascii="Times New Roman" w:eastAsia="Calibri" w:hAnsi="Times New Roman"/>
          <w:sz w:val="24"/>
        </w:rPr>
      </w:pPr>
      <w:r w:rsidRPr="005C0274">
        <w:rPr>
          <w:rFonts w:ascii="Times New Roman" w:hAnsi="Times New Roman"/>
        </w:rPr>
        <w:t xml:space="preserve">Na jednym z posiedzeń, Komisja przeanalizowała Rekomendacje The </w:t>
      </w:r>
      <w:proofErr w:type="spellStart"/>
      <w:r w:rsidRPr="005C0274">
        <w:rPr>
          <w:rFonts w:ascii="Times New Roman" w:hAnsi="Times New Roman"/>
          <w:shd w:val="clear" w:color="auto" w:fill="FFFFFF"/>
        </w:rPr>
        <w:t>League</w:t>
      </w:r>
      <w:proofErr w:type="spellEnd"/>
      <w:r w:rsidRPr="005C0274">
        <w:rPr>
          <w:rFonts w:ascii="Times New Roman" w:hAnsi="Times New Roman"/>
          <w:shd w:val="clear" w:color="auto" w:fill="FFFFFF"/>
        </w:rPr>
        <w:t xml:space="preserve"> of </w:t>
      </w:r>
      <w:proofErr w:type="spellStart"/>
      <w:r w:rsidRPr="005C0274">
        <w:rPr>
          <w:rFonts w:ascii="Times New Roman" w:hAnsi="Times New Roman"/>
          <w:shd w:val="clear" w:color="auto" w:fill="FFFFFF"/>
        </w:rPr>
        <w:t>European</w:t>
      </w:r>
      <w:proofErr w:type="spellEnd"/>
      <w:r w:rsidRPr="005C0274">
        <w:rPr>
          <w:rFonts w:ascii="Times New Roman" w:hAnsi="Times New Roman"/>
          <w:shd w:val="clear" w:color="auto" w:fill="FFFFFF"/>
        </w:rPr>
        <w:t xml:space="preserve"> </w:t>
      </w:r>
      <w:proofErr w:type="spellStart"/>
      <w:r w:rsidRPr="005C0274">
        <w:rPr>
          <w:rFonts w:ascii="Times New Roman" w:hAnsi="Times New Roman"/>
          <w:shd w:val="clear" w:color="auto" w:fill="FFFFFF"/>
        </w:rPr>
        <w:t>Research</w:t>
      </w:r>
      <w:proofErr w:type="spellEnd"/>
      <w:r w:rsidRPr="005C0274">
        <w:rPr>
          <w:rFonts w:ascii="Times New Roman" w:hAnsi="Times New Roman"/>
          <w:shd w:val="clear" w:color="auto" w:fill="FFFFFF"/>
        </w:rPr>
        <w:t xml:space="preserve"> </w:t>
      </w:r>
      <w:proofErr w:type="spellStart"/>
      <w:r w:rsidRPr="005C0274">
        <w:rPr>
          <w:rFonts w:ascii="Times New Roman" w:hAnsi="Times New Roman"/>
          <w:shd w:val="clear" w:color="auto" w:fill="FFFFFF"/>
        </w:rPr>
        <w:t>Universities</w:t>
      </w:r>
      <w:proofErr w:type="spellEnd"/>
      <w:r w:rsidRPr="005C0274">
        <w:rPr>
          <w:rStyle w:val="Odwoanieprzypisudolnego"/>
          <w:rFonts w:ascii="Times New Roman" w:hAnsi="Times New Roman"/>
          <w:shd w:val="clear" w:color="auto" w:fill="FFFFFF"/>
        </w:rPr>
        <w:footnoteReference w:id="1"/>
      </w:r>
      <w:r w:rsidRPr="005C0274">
        <w:rPr>
          <w:rFonts w:ascii="Times New Roman" w:hAnsi="Times New Roman"/>
          <w:shd w:val="clear" w:color="auto" w:fill="FFFFFF"/>
        </w:rPr>
        <w:t xml:space="preserve"> dotyczące rzetelności badań naukowych wydane w styczniu </w:t>
      </w:r>
      <w:r w:rsidRPr="005C0274">
        <w:rPr>
          <w:rStyle w:val="A3"/>
          <w:rFonts w:ascii="Times New Roman" w:hAnsi="Times New Roman"/>
          <w:sz w:val="24"/>
        </w:rPr>
        <w:t xml:space="preserve">2020 r. </w:t>
      </w:r>
      <w:r w:rsidRPr="00A361A9">
        <w:rPr>
          <w:rStyle w:val="A3"/>
          <w:rFonts w:ascii="Times New Roman" w:hAnsi="Times New Roman"/>
          <w:sz w:val="24"/>
        </w:rPr>
        <w:lastRenderedPageBreak/>
        <w:t>„</w:t>
      </w:r>
      <w:proofErr w:type="spellStart"/>
      <w:r w:rsidRPr="00A361A9">
        <w:rPr>
          <w:rStyle w:val="A0"/>
          <w:rFonts w:ascii="Times New Roman" w:hAnsi="Times New Roman"/>
          <w:sz w:val="24"/>
        </w:rPr>
        <w:t>Towards</w:t>
      </w:r>
      <w:proofErr w:type="spellEnd"/>
      <w:r w:rsidRPr="00A361A9">
        <w:rPr>
          <w:rStyle w:val="A0"/>
          <w:rFonts w:ascii="Times New Roman" w:hAnsi="Times New Roman"/>
          <w:sz w:val="24"/>
        </w:rPr>
        <w:t xml:space="preserve"> a </w:t>
      </w:r>
      <w:proofErr w:type="spellStart"/>
      <w:r w:rsidRPr="00A361A9">
        <w:rPr>
          <w:rStyle w:val="A0"/>
          <w:rFonts w:ascii="Times New Roman" w:hAnsi="Times New Roman"/>
          <w:sz w:val="24"/>
        </w:rPr>
        <w:t>Research</w:t>
      </w:r>
      <w:proofErr w:type="spellEnd"/>
      <w:r w:rsidRPr="00A361A9">
        <w:rPr>
          <w:rStyle w:val="A0"/>
          <w:rFonts w:ascii="Times New Roman" w:hAnsi="Times New Roman"/>
          <w:sz w:val="24"/>
        </w:rPr>
        <w:t xml:space="preserve"> </w:t>
      </w:r>
      <w:proofErr w:type="spellStart"/>
      <w:r w:rsidRPr="00A361A9">
        <w:rPr>
          <w:rStyle w:val="A0"/>
          <w:rFonts w:ascii="Times New Roman" w:hAnsi="Times New Roman"/>
          <w:sz w:val="24"/>
        </w:rPr>
        <w:t>Integrity</w:t>
      </w:r>
      <w:proofErr w:type="spellEnd"/>
      <w:r w:rsidRPr="00A361A9">
        <w:rPr>
          <w:rStyle w:val="A0"/>
          <w:rFonts w:ascii="Times New Roman" w:hAnsi="Times New Roman"/>
          <w:sz w:val="24"/>
        </w:rPr>
        <w:t xml:space="preserve"> </w:t>
      </w:r>
      <w:proofErr w:type="spellStart"/>
      <w:r w:rsidRPr="00A361A9">
        <w:rPr>
          <w:rStyle w:val="A0"/>
          <w:rFonts w:ascii="Times New Roman" w:hAnsi="Times New Roman"/>
          <w:sz w:val="24"/>
        </w:rPr>
        <w:t>Culture</w:t>
      </w:r>
      <w:proofErr w:type="spellEnd"/>
      <w:r w:rsidRPr="00A361A9">
        <w:rPr>
          <w:rStyle w:val="A0"/>
          <w:rFonts w:ascii="Times New Roman" w:hAnsi="Times New Roman"/>
          <w:sz w:val="24"/>
        </w:rPr>
        <w:t xml:space="preserve"> </w:t>
      </w:r>
      <w:proofErr w:type="spellStart"/>
      <w:r w:rsidRPr="00A361A9">
        <w:rPr>
          <w:rStyle w:val="A0"/>
          <w:rFonts w:ascii="Times New Roman" w:hAnsi="Times New Roman"/>
          <w:sz w:val="24"/>
        </w:rPr>
        <w:t>at</w:t>
      </w:r>
      <w:proofErr w:type="spellEnd"/>
      <w:r w:rsidRPr="00A361A9">
        <w:rPr>
          <w:rStyle w:val="A0"/>
          <w:rFonts w:ascii="Times New Roman" w:hAnsi="Times New Roman"/>
          <w:sz w:val="24"/>
        </w:rPr>
        <w:t xml:space="preserve"> </w:t>
      </w:r>
      <w:proofErr w:type="spellStart"/>
      <w:r w:rsidRPr="00A361A9">
        <w:rPr>
          <w:rStyle w:val="A0"/>
          <w:rFonts w:ascii="Times New Roman" w:hAnsi="Times New Roman"/>
          <w:sz w:val="24"/>
        </w:rPr>
        <w:t>Universities</w:t>
      </w:r>
      <w:proofErr w:type="spellEnd"/>
      <w:r w:rsidRPr="00A361A9">
        <w:rPr>
          <w:rStyle w:val="A0"/>
          <w:rFonts w:ascii="Times New Roman" w:hAnsi="Times New Roman"/>
          <w:sz w:val="24"/>
        </w:rPr>
        <w:t xml:space="preserve">: </w:t>
      </w:r>
      <w:r w:rsidRPr="00A361A9">
        <w:rPr>
          <w:rStyle w:val="A1"/>
          <w:rFonts w:ascii="Times New Roman" w:hAnsi="Times New Roman"/>
          <w:sz w:val="24"/>
        </w:rPr>
        <w:t xml:space="preserve">From </w:t>
      </w:r>
      <w:proofErr w:type="spellStart"/>
      <w:r w:rsidRPr="00A361A9">
        <w:rPr>
          <w:rStyle w:val="A1"/>
          <w:rFonts w:ascii="Times New Roman" w:hAnsi="Times New Roman"/>
          <w:sz w:val="24"/>
        </w:rPr>
        <w:t>Recommendations</w:t>
      </w:r>
      <w:proofErr w:type="spellEnd"/>
      <w:r w:rsidRPr="00A361A9">
        <w:rPr>
          <w:rStyle w:val="A1"/>
          <w:rFonts w:ascii="Times New Roman" w:hAnsi="Times New Roman"/>
          <w:sz w:val="24"/>
        </w:rPr>
        <w:t xml:space="preserve"> to </w:t>
      </w:r>
      <w:proofErr w:type="spellStart"/>
      <w:r w:rsidRPr="00A361A9">
        <w:rPr>
          <w:rStyle w:val="A1"/>
          <w:rFonts w:ascii="Times New Roman" w:hAnsi="Times New Roman"/>
          <w:sz w:val="24"/>
        </w:rPr>
        <w:t>Implementation</w:t>
      </w:r>
      <w:proofErr w:type="spellEnd"/>
      <w:r w:rsidRPr="00A361A9">
        <w:rPr>
          <w:rStyle w:val="A1"/>
          <w:rFonts w:ascii="Times New Roman" w:hAnsi="Times New Roman"/>
          <w:sz w:val="24"/>
        </w:rPr>
        <w:t>”.</w:t>
      </w:r>
    </w:p>
    <w:p w14:paraId="68CB3F7A" w14:textId="556DA9DF" w:rsidR="001120BC" w:rsidRPr="005C0274" w:rsidRDefault="001120BC" w:rsidP="001120BC">
      <w:pPr>
        <w:spacing w:after="0" w:line="360" w:lineRule="auto"/>
        <w:jc w:val="both"/>
        <w:rPr>
          <w:rFonts w:ascii="Times New Roman" w:hAnsi="Times New Roman"/>
          <w:sz w:val="24"/>
          <w:szCs w:val="24"/>
        </w:rPr>
      </w:pPr>
      <w:r w:rsidRPr="005C0274">
        <w:rPr>
          <w:rFonts w:ascii="Times New Roman" w:hAnsi="Times New Roman"/>
          <w:sz w:val="24"/>
          <w:szCs w:val="24"/>
        </w:rPr>
        <w:t xml:space="preserve">Zwrócono uwagę, że w dokumencie tym zawarto istotny punkt, który był przedmiotem </w:t>
      </w:r>
      <w:r w:rsidR="00A361A9">
        <w:rPr>
          <w:rFonts w:ascii="Times New Roman" w:hAnsi="Times New Roman"/>
          <w:sz w:val="24"/>
          <w:szCs w:val="24"/>
        </w:rPr>
        <w:br/>
      </w:r>
      <w:r w:rsidRPr="005C0274">
        <w:rPr>
          <w:rFonts w:ascii="Times New Roman" w:hAnsi="Times New Roman"/>
          <w:sz w:val="24"/>
          <w:szCs w:val="24"/>
        </w:rPr>
        <w:t xml:space="preserve">dyskusji Komisji, o wprowadzeniu edukacji w zakresie etyki w nauce na wszystkich </w:t>
      </w:r>
      <w:r w:rsidR="00A361A9">
        <w:rPr>
          <w:rFonts w:ascii="Times New Roman" w:hAnsi="Times New Roman"/>
          <w:sz w:val="24"/>
          <w:szCs w:val="24"/>
        </w:rPr>
        <w:br/>
      </w:r>
      <w:r w:rsidRPr="005C0274">
        <w:rPr>
          <w:rFonts w:ascii="Times New Roman" w:hAnsi="Times New Roman"/>
          <w:sz w:val="24"/>
          <w:szCs w:val="24"/>
        </w:rPr>
        <w:t xml:space="preserve">szczeblach kariery naukowej (from </w:t>
      </w:r>
      <w:proofErr w:type="spellStart"/>
      <w:r w:rsidRPr="005C0274">
        <w:rPr>
          <w:rFonts w:ascii="Times New Roman" w:hAnsi="Times New Roman"/>
          <w:sz w:val="24"/>
          <w:szCs w:val="24"/>
        </w:rPr>
        <w:t>undergraduate</w:t>
      </w:r>
      <w:proofErr w:type="spellEnd"/>
      <w:r w:rsidRPr="005C0274">
        <w:rPr>
          <w:rFonts w:ascii="Times New Roman" w:hAnsi="Times New Roman"/>
          <w:sz w:val="24"/>
          <w:szCs w:val="24"/>
        </w:rPr>
        <w:t xml:space="preserve"> to senior </w:t>
      </w:r>
      <w:proofErr w:type="spellStart"/>
      <w:r w:rsidRPr="005C0274">
        <w:rPr>
          <w:rFonts w:ascii="Times New Roman" w:hAnsi="Times New Roman"/>
          <w:sz w:val="24"/>
          <w:szCs w:val="24"/>
        </w:rPr>
        <w:t>scientist</w:t>
      </w:r>
      <w:proofErr w:type="spellEnd"/>
      <w:r w:rsidRPr="005C0274">
        <w:rPr>
          <w:rFonts w:ascii="Times New Roman" w:hAnsi="Times New Roman"/>
          <w:sz w:val="24"/>
          <w:szCs w:val="24"/>
        </w:rPr>
        <w:t xml:space="preserve">). Założono, iż senior </w:t>
      </w:r>
      <w:proofErr w:type="spellStart"/>
      <w:r w:rsidRPr="005C0274">
        <w:rPr>
          <w:rFonts w:ascii="Times New Roman" w:hAnsi="Times New Roman"/>
          <w:sz w:val="24"/>
          <w:szCs w:val="24"/>
        </w:rPr>
        <w:t>scientists</w:t>
      </w:r>
      <w:proofErr w:type="spellEnd"/>
      <w:r w:rsidRPr="005C0274">
        <w:rPr>
          <w:rFonts w:ascii="Times New Roman" w:hAnsi="Times New Roman"/>
          <w:sz w:val="24"/>
          <w:szCs w:val="24"/>
        </w:rPr>
        <w:t xml:space="preserve"> powinni otrzymywać instrukcję jak kierować procesem nadzoru nad etyką </w:t>
      </w:r>
      <w:r>
        <w:rPr>
          <w:rFonts w:ascii="Times New Roman" w:hAnsi="Times New Roman"/>
          <w:sz w:val="24"/>
          <w:szCs w:val="24"/>
        </w:rPr>
        <w:br/>
      </w:r>
      <w:r w:rsidRPr="005C0274">
        <w:rPr>
          <w:rFonts w:ascii="Times New Roman" w:hAnsi="Times New Roman"/>
          <w:sz w:val="24"/>
          <w:szCs w:val="24"/>
        </w:rPr>
        <w:t xml:space="preserve">w kształceniu młodszych kolegów. Członkowie Komisji ponownie zdecydowanie </w:t>
      </w:r>
      <w:r w:rsidR="00A361A9">
        <w:rPr>
          <w:rFonts w:ascii="Times New Roman" w:hAnsi="Times New Roman"/>
          <w:sz w:val="24"/>
          <w:szCs w:val="24"/>
        </w:rPr>
        <w:br/>
      </w:r>
      <w:r w:rsidRPr="005C0274">
        <w:rPr>
          <w:rFonts w:ascii="Times New Roman" w:hAnsi="Times New Roman"/>
          <w:sz w:val="24"/>
          <w:szCs w:val="24"/>
        </w:rPr>
        <w:t xml:space="preserve">opowiedzieli się za koniecznością prowadzenia takiego nauczania, ponieważ świadomość zasad etyki w nauce w środowisku naukowym i akademickim jest znikoma głównie wśród młodszych kolegów. </w:t>
      </w:r>
    </w:p>
    <w:p w14:paraId="584F151E" w14:textId="77777777" w:rsidR="001120BC" w:rsidRPr="005C0274" w:rsidRDefault="001120BC" w:rsidP="001120BC">
      <w:pPr>
        <w:spacing w:before="240" w:after="0" w:line="360" w:lineRule="auto"/>
        <w:jc w:val="both"/>
        <w:rPr>
          <w:rFonts w:ascii="Times New Roman" w:hAnsi="Times New Roman"/>
          <w:sz w:val="24"/>
          <w:szCs w:val="24"/>
        </w:rPr>
      </w:pPr>
      <w:r w:rsidRPr="005C0274">
        <w:rPr>
          <w:rFonts w:ascii="Times New Roman" w:hAnsi="Times New Roman"/>
          <w:sz w:val="24"/>
          <w:szCs w:val="24"/>
        </w:rPr>
        <w:t xml:space="preserve">Ponownie również członkowie Komisji do Spraw Etyki w Nauce uznali za uzasadnione </w:t>
      </w:r>
      <w:r w:rsidRPr="005C0274">
        <w:rPr>
          <w:rFonts w:ascii="Times New Roman" w:hAnsi="Times New Roman"/>
          <w:sz w:val="24"/>
          <w:szCs w:val="24"/>
          <w:shd w:val="clear" w:color="auto" w:fill="FFFFFF"/>
        </w:rPr>
        <w:t xml:space="preserve">utworzenia Centralnego Rejestru Spraw zgłaszanych do Komisji do Spraw Etyki w Nauce, ewentualnie utworzenia Centralnego </w:t>
      </w:r>
      <w:r w:rsidRPr="005C0274">
        <w:rPr>
          <w:rFonts w:ascii="Times New Roman" w:hAnsi="Times New Roman"/>
          <w:sz w:val="24"/>
          <w:szCs w:val="24"/>
        </w:rPr>
        <w:t xml:space="preserve">Rejestru Postępowań Dyscyplinarnych. Rejestr, w opinii Komisji, pokazałby sprawność działania komisji dyscyplinarnych oraz stanu świadomości etycznej i postępowania etycznego środowiska naukowego i akademickiego w Polsce. </w:t>
      </w:r>
    </w:p>
    <w:p w14:paraId="6CEA0C04" w14:textId="77777777" w:rsidR="001120BC" w:rsidRPr="005C0274" w:rsidRDefault="001120BC" w:rsidP="001120BC">
      <w:pPr>
        <w:spacing w:after="0" w:line="360" w:lineRule="auto"/>
        <w:jc w:val="both"/>
        <w:rPr>
          <w:rFonts w:ascii="Times New Roman" w:hAnsi="Times New Roman"/>
          <w:sz w:val="24"/>
          <w:szCs w:val="24"/>
        </w:rPr>
      </w:pPr>
    </w:p>
    <w:p w14:paraId="69DBF9C6" w14:textId="77777777" w:rsidR="001120BC" w:rsidRDefault="001120BC" w:rsidP="001120BC">
      <w:pPr>
        <w:spacing w:after="0" w:line="360" w:lineRule="auto"/>
        <w:jc w:val="both"/>
        <w:rPr>
          <w:rFonts w:ascii="Times New Roman" w:hAnsi="Times New Roman"/>
          <w:sz w:val="24"/>
          <w:szCs w:val="24"/>
        </w:rPr>
      </w:pPr>
    </w:p>
    <w:p w14:paraId="370A18BE" w14:textId="77777777" w:rsidR="001120BC" w:rsidRDefault="001120BC" w:rsidP="001120BC">
      <w:pPr>
        <w:spacing w:after="0" w:line="360" w:lineRule="auto"/>
        <w:jc w:val="both"/>
        <w:rPr>
          <w:rFonts w:ascii="Times New Roman" w:hAnsi="Times New Roman"/>
          <w:sz w:val="24"/>
          <w:szCs w:val="24"/>
        </w:rPr>
      </w:pPr>
    </w:p>
    <w:p w14:paraId="1963F583" w14:textId="77777777" w:rsidR="001120BC" w:rsidRDefault="001120BC" w:rsidP="001120BC">
      <w:pPr>
        <w:spacing w:after="0" w:line="360" w:lineRule="auto"/>
        <w:jc w:val="both"/>
        <w:rPr>
          <w:rFonts w:ascii="Times New Roman" w:hAnsi="Times New Roman"/>
          <w:sz w:val="24"/>
          <w:szCs w:val="24"/>
        </w:rPr>
      </w:pPr>
    </w:p>
    <w:p w14:paraId="2ACE56D1" w14:textId="77777777" w:rsidR="001120BC" w:rsidRDefault="001120BC" w:rsidP="001120BC">
      <w:pPr>
        <w:spacing w:after="0" w:line="360" w:lineRule="auto"/>
        <w:jc w:val="both"/>
        <w:rPr>
          <w:rFonts w:ascii="Times New Roman" w:hAnsi="Times New Roman"/>
          <w:sz w:val="24"/>
          <w:szCs w:val="24"/>
        </w:rPr>
      </w:pPr>
    </w:p>
    <w:p w14:paraId="48E55A8E" w14:textId="77777777" w:rsidR="001120BC" w:rsidRDefault="001120BC" w:rsidP="001120BC">
      <w:pPr>
        <w:spacing w:after="0" w:line="360" w:lineRule="auto"/>
        <w:jc w:val="both"/>
        <w:rPr>
          <w:rFonts w:ascii="Times New Roman" w:hAnsi="Times New Roman"/>
          <w:sz w:val="24"/>
          <w:szCs w:val="24"/>
        </w:rPr>
      </w:pPr>
    </w:p>
    <w:p w14:paraId="21CFD021" w14:textId="77777777" w:rsidR="001120BC" w:rsidRDefault="001120BC" w:rsidP="001120BC">
      <w:pPr>
        <w:spacing w:after="0" w:line="360" w:lineRule="auto"/>
        <w:jc w:val="both"/>
        <w:rPr>
          <w:rFonts w:ascii="Times New Roman" w:hAnsi="Times New Roman"/>
          <w:sz w:val="24"/>
          <w:szCs w:val="24"/>
        </w:rPr>
      </w:pPr>
    </w:p>
    <w:p w14:paraId="3C7053F6" w14:textId="77777777" w:rsidR="001120BC" w:rsidRDefault="001120BC" w:rsidP="001120BC">
      <w:pPr>
        <w:spacing w:after="0" w:line="360" w:lineRule="auto"/>
        <w:jc w:val="both"/>
        <w:rPr>
          <w:rFonts w:ascii="Times New Roman" w:hAnsi="Times New Roman"/>
          <w:sz w:val="24"/>
          <w:szCs w:val="24"/>
        </w:rPr>
      </w:pPr>
    </w:p>
    <w:p w14:paraId="3C51D344" w14:textId="77777777" w:rsidR="001120BC" w:rsidRDefault="001120BC" w:rsidP="001120BC">
      <w:pPr>
        <w:spacing w:after="0" w:line="360" w:lineRule="auto"/>
        <w:jc w:val="both"/>
        <w:rPr>
          <w:rFonts w:ascii="Times New Roman" w:hAnsi="Times New Roman"/>
          <w:sz w:val="24"/>
          <w:szCs w:val="24"/>
        </w:rPr>
      </w:pPr>
    </w:p>
    <w:p w14:paraId="2A22BBCF" w14:textId="77777777" w:rsidR="001120BC" w:rsidRDefault="001120BC" w:rsidP="001120BC">
      <w:pPr>
        <w:spacing w:after="0" w:line="360" w:lineRule="auto"/>
        <w:jc w:val="both"/>
        <w:rPr>
          <w:rFonts w:ascii="Times New Roman" w:hAnsi="Times New Roman"/>
          <w:sz w:val="24"/>
          <w:szCs w:val="24"/>
        </w:rPr>
      </w:pPr>
    </w:p>
    <w:p w14:paraId="118BC174" w14:textId="77777777" w:rsidR="001120BC" w:rsidRPr="005C0274" w:rsidRDefault="001120BC" w:rsidP="001120BC">
      <w:pPr>
        <w:spacing w:after="0" w:line="360" w:lineRule="auto"/>
        <w:jc w:val="both"/>
        <w:rPr>
          <w:rFonts w:ascii="Times New Roman" w:hAnsi="Times New Roman"/>
          <w:b/>
          <w:sz w:val="24"/>
          <w:szCs w:val="24"/>
        </w:rPr>
      </w:pPr>
      <w:r>
        <w:rPr>
          <w:rFonts w:ascii="Times New Roman" w:hAnsi="Times New Roman"/>
          <w:sz w:val="24"/>
          <w:szCs w:val="24"/>
        </w:rPr>
        <w:t xml:space="preserve">Załącznik - </w:t>
      </w:r>
      <w:r w:rsidRPr="005C0274">
        <w:rPr>
          <w:rFonts w:ascii="Times New Roman" w:hAnsi="Times New Roman"/>
          <w:sz w:val="24"/>
          <w:szCs w:val="24"/>
        </w:rPr>
        <w:t>Wykaz spraw zgłoszonych do Komisji do Spraw Etyki w Nauce w 2020 r</w:t>
      </w:r>
      <w:r>
        <w:rPr>
          <w:rFonts w:ascii="Times New Roman" w:hAnsi="Times New Roman"/>
          <w:sz w:val="24"/>
          <w:szCs w:val="24"/>
        </w:rPr>
        <w:t xml:space="preserve">. </w:t>
      </w:r>
    </w:p>
    <w:p w14:paraId="39893D08" w14:textId="77777777" w:rsidR="001120BC" w:rsidRPr="005C0274" w:rsidRDefault="001120BC" w:rsidP="001120BC">
      <w:pPr>
        <w:spacing w:after="0" w:line="360" w:lineRule="auto"/>
        <w:jc w:val="both"/>
        <w:rPr>
          <w:rFonts w:ascii="Times New Roman" w:hAnsi="Times New Roman"/>
          <w:sz w:val="24"/>
          <w:szCs w:val="24"/>
        </w:rPr>
      </w:pPr>
    </w:p>
    <w:p w14:paraId="60F73718" w14:textId="77777777" w:rsidR="001120BC" w:rsidRPr="005C0274" w:rsidRDefault="001120BC" w:rsidP="001120BC">
      <w:pPr>
        <w:spacing w:after="0" w:line="360" w:lineRule="auto"/>
        <w:jc w:val="both"/>
        <w:rPr>
          <w:rFonts w:ascii="Times New Roman" w:hAnsi="Times New Roman"/>
          <w:sz w:val="24"/>
          <w:szCs w:val="24"/>
        </w:rPr>
      </w:pPr>
    </w:p>
    <w:p w14:paraId="0FE33E0B" w14:textId="77777777" w:rsidR="008348C9" w:rsidRPr="001120BC" w:rsidRDefault="001A325C">
      <w:pPr>
        <w:rPr>
          <w:rFonts w:ascii="Times New Roman" w:hAnsi="Times New Roman" w:cs="Times New Roman"/>
          <w:sz w:val="24"/>
          <w:szCs w:val="24"/>
        </w:rPr>
      </w:pPr>
    </w:p>
    <w:sectPr w:rsidR="008348C9" w:rsidRPr="001120BC" w:rsidSect="008E3130">
      <w:footerReference w:type="default" r:id="rId7"/>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5EBE5" w14:textId="77777777" w:rsidR="001A325C" w:rsidRDefault="001A325C" w:rsidP="001120BC">
      <w:pPr>
        <w:spacing w:after="0" w:line="240" w:lineRule="auto"/>
      </w:pPr>
      <w:r>
        <w:separator/>
      </w:r>
    </w:p>
  </w:endnote>
  <w:endnote w:type="continuationSeparator" w:id="0">
    <w:p w14:paraId="3ADEEE8A" w14:textId="77777777" w:rsidR="001A325C" w:rsidRDefault="001A325C" w:rsidP="0011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LT Std Light">
    <w:altName w:val="Arial"/>
    <w:panose1 w:val="00000000000000000000"/>
    <w:charset w:val="00"/>
    <w:family w:val="swiss"/>
    <w:notTrueType/>
    <w:pitch w:val="default"/>
    <w:sig w:usb0="00000003" w:usb1="00000000" w:usb2="00000000" w:usb3="00000000" w:csb0="00000001" w:csb1="00000000"/>
  </w:font>
  <w:font w:name="Helvetica LT Std">
    <w:altName w:val="Arial"/>
    <w:panose1 w:val="00000000000000000000"/>
    <w:charset w:val="00"/>
    <w:family w:val="roman"/>
    <w:notTrueType/>
    <w:pitch w:val="default"/>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681731"/>
      <w:docPartObj>
        <w:docPartGallery w:val="Page Numbers (Bottom of Page)"/>
        <w:docPartUnique/>
      </w:docPartObj>
    </w:sdtPr>
    <w:sdtEndPr>
      <w:rPr>
        <w:rFonts w:ascii="Times New Roman" w:hAnsi="Times New Roman"/>
      </w:rPr>
    </w:sdtEndPr>
    <w:sdtContent>
      <w:p w14:paraId="37762D46" w14:textId="77777777" w:rsidR="00B81061" w:rsidRPr="00E36F89" w:rsidRDefault="00585494">
        <w:pPr>
          <w:pStyle w:val="Stopka"/>
          <w:jc w:val="center"/>
          <w:rPr>
            <w:rFonts w:ascii="Times New Roman" w:hAnsi="Times New Roman"/>
          </w:rPr>
        </w:pPr>
        <w:r w:rsidRPr="00E36F89">
          <w:rPr>
            <w:rFonts w:ascii="Times New Roman" w:hAnsi="Times New Roman"/>
          </w:rPr>
          <w:fldChar w:fldCharType="begin"/>
        </w:r>
        <w:r w:rsidRPr="00E36F89">
          <w:rPr>
            <w:rFonts w:ascii="Times New Roman" w:hAnsi="Times New Roman"/>
          </w:rPr>
          <w:instrText>PAGE   \* MERGEFORMAT</w:instrText>
        </w:r>
        <w:r w:rsidRPr="00E36F89">
          <w:rPr>
            <w:rFonts w:ascii="Times New Roman" w:hAnsi="Times New Roman"/>
          </w:rPr>
          <w:fldChar w:fldCharType="separate"/>
        </w:r>
        <w:r w:rsidRPr="00E36F89">
          <w:rPr>
            <w:rFonts w:ascii="Times New Roman" w:hAnsi="Times New Roman"/>
            <w:noProof/>
          </w:rPr>
          <w:t>8</w:t>
        </w:r>
        <w:r w:rsidRPr="00E36F89">
          <w:rPr>
            <w:rFonts w:ascii="Times New Roman" w:hAnsi="Times New Roman"/>
          </w:rPr>
          <w:fldChar w:fldCharType="end"/>
        </w:r>
      </w:p>
    </w:sdtContent>
  </w:sdt>
  <w:p w14:paraId="4BB3AF25" w14:textId="77777777" w:rsidR="00B81061" w:rsidRDefault="001A32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31AE8" w14:textId="77777777" w:rsidR="001A325C" w:rsidRDefault="001A325C" w:rsidP="001120BC">
      <w:pPr>
        <w:spacing w:after="0" w:line="240" w:lineRule="auto"/>
      </w:pPr>
      <w:r>
        <w:separator/>
      </w:r>
    </w:p>
  </w:footnote>
  <w:footnote w:type="continuationSeparator" w:id="0">
    <w:p w14:paraId="7B2D6C3C" w14:textId="77777777" w:rsidR="001A325C" w:rsidRDefault="001A325C" w:rsidP="001120BC">
      <w:pPr>
        <w:spacing w:after="0" w:line="240" w:lineRule="auto"/>
      </w:pPr>
      <w:r>
        <w:continuationSeparator/>
      </w:r>
    </w:p>
  </w:footnote>
  <w:footnote w:id="1">
    <w:p w14:paraId="58C923FB" w14:textId="1882E6F6" w:rsidR="001120BC" w:rsidRPr="00D25C56" w:rsidRDefault="001120BC" w:rsidP="001120BC">
      <w:pPr>
        <w:pStyle w:val="Pa0"/>
        <w:spacing w:line="360" w:lineRule="auto"/>
        <w:jc w:val="both"/>
        <w:rPr>
          <w:lang w:val="en-US"/>
        </w:rPr>
      </w:pPr>
      <w:r w:rsidRPr="00394053">
        <w:rPr>
          <w:rStyle w:val="Odwoanieprzypisudolnego"/>
          <w:rFonts w:ascii="Times New Roman" w:hAnsi="Times New Roman"/>
          <w:sz w:val="18"/>
          <w:szCs w:val="18"/>
        </w:rPr>
        <w:footnoteRef/>
      </w:r>
      <w:r w:rsidRPr="00394053">
        <w:rPr>
          <w:rStyle w:val="A2"/>
          <w:rFonts w:ascii="Times New Roman" w:eastAsia="Calibri" w:hAnsi="Times New Roman"/>
          <w:sz w:val="18"/>
          <w:szCs w:val="18"/>
          <w:lang w:val="en-US"/>
        </w:rPr>
        <w:t xml:space="preserve">University of Amsterdam, </w:t>
      </w:r>
      <w:proofErr w:type="spellStart"/>
      <w:r w:rsidRPr="00394053">
        <w:rPr>
          <w:rStyle w:val="A2"/>
          <w:rFonts w:ascii="Times New Roman" w:eastAsia="Calibri" w:hAnsi="Times New Roman"/>
          <w:sz w:val="18"/>
          <w:szCs w:val="18"/>
          <w:lang w:val="en-US"/>
        </w:rPr>
        <w:t>Universitat</w:t>
      </w:r>
      <w:proofErr w:type="spellEnd"/>
      <w:r w:rsidRPr="00394053">
        <w:rPr>
          <w:rStyle w:val="A2"/>
          <w:rFonts w:ascii="Times New Roman" w:eastAsia="Calibri" w:hAnsi="Times New Roman"/>
          <w:sz w:val="18"/>
          <w:szCs w:val="18"/>
          <w:lang w:val="en-US"/>
        </w:rPr>
        <w:t xml:space="preserve"> de Barcelona, University of Cambridge, University of Copenhagen, Trinity College Dublin, University of Edinburgh, University of Freiburg, Université de Genève, Universität Heidelberg, University of Helsinki, Universiteit Leiden, KU Leuven, Imperial College London, University College London, Lund University, </w:t>
      </w:r>
      <w:r w:rsidR="00A361A9">
        <w:rPr>
          <w:rStyle w:val="A2"/>
          <w:rFonts w:ascii="Times New Roman" w:eastAsia="Calibri" w:hAnsi="Times New Roman"/>
          <w:sz w:val="18"/>
          <w:szCs w:val="18"/>
          <w:lang w:val="en-US"/>
        </w:rPr>
        <w:br/>
      </w:r>
      <w:r w:rsidRPr="00394053">
        <w:rPr>
          <w:rStyle w:val="A2"/>
          <w:rFonts w:ascii="Times New Roman" w:eastAsia="Calibri" w:hAnsi="Times New Roman"/>
          <w:sz w:val="18"/>
          <w:szCs w:val="18"/>
          <w:lang w:val="en-US"/>
        </w:rPr>
        <w:t>University of Milan, Ludwig-</w:t>
      </w:r>
      <w:proofErr w:type="spellStart"/>
      <w:r w:rsidRPr="00394053">
        <w:rPr>
          <w:rStyle w:val="A2"/>
          <w:rFonts w:ascii="Times New Roman" w:eastAsia="Calibri" w:hAnsi="Times New Roman"/>
          <w:sz w:val="18"/>
          <w:szCs w:val="18"/>
          <w:lang w:val="en-US"/>
        </w:rPr>
        <w:t>Maximilians</w:t>
      </w:r>
      <w:proofErr w:type="spellEnd"/>
      <w:r w:rsidRPr="00394053">
        <w:rPr>
          <w:rStyle w:val="A2"/>
          <w:rFonts w:ascii="Times New Roman" w:eastAsia="Calibri" w:hAnsi="Times New Roman"/>
          <w:sz w:val="18"/>
          <w:szCs w:val="18"/>
          <w:lang w:val="en-US"/>
        </w:rPr>
        <w:t xml:space="preserve">-Universität München, University of Oxford, Sorbonne University, Université Paris </w:t>
      </w:r>
      <w:proofErr w:type="spellStart"/>
      <w:r w:rsidRPr="00394053">
        <w:rPr>
          <w:rStyle w:val="A2"/>
          <w:rFonts w:ascii="Times New Roman" w:eastAsia="Calibri" w:hAnsi="Times New Roman"/>
          <w:sz w:val="18"/>
          <w:szCs w:val="18"/>
          <w:lang w:val="en-US"/>
        </w:rPr>
        <w:t>Saclay</w:t>
      </w:r>
      <w:proofErr w:type="spellEnd"/>
      <w:r w:rsidRPr="00394053">
        <w:rPr>
          <w:rStyle w:val="A2"/>
          <w:rFonts w:ascii="Times New Roman" w:eastAsia="Calibri" w:hAnsi="Times New Roman"/>
          <w:sz w:val="18"/>
          <w:szCs w:val="18"/>
          <w:lang w:val="en-US"/>
        </w:rPr>
        <w:t>, University of Strasbourg, Utrecht University, University of Zurich</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0BC"/>
    <w:rsid w:val="001120BC"/>
    <w:rsid w:val="001A325C"/>
    <w:rsid w:val="00254A52"/>
    <w:rsid w:val="0052323F"/>
    <w:rsid w:val="00585494"/>
    <w:rsid w:val="00641E4D"/>
    <w:rsid w:val="007C6386"/>
    <w:rsid w:val="00881D0A"/>
    <w:rsid w:val="009061D0"/>
    <w:rsid w:val="00A36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7311"/>
  <w15:chartTrackingRefBased/>
  <w15:docId w15:val="{C9403318-218A-472A-B074-EDC4422F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20BC"/>
    <w:pPr>
      <w:spacing w:after="200" w:line="276" w:lineRule="auto"/>
      <w:ind w:left="720"/>
      <w:contextualSpacing/>
    </w:pPr>
    <w:rPr>
      <w:rFonts w:ascii="Calibri" w:eastAsia="Calibri" w:hAnsi="Calibri" w:cs="Times New Roman"/>
    </w:rPr>
  </w:style>
  <w:style w:type="character" w:styleId="Odwoanieprzypisudolnego">
    <w:name w:val="footnote reference"/>
    <w:uiPriority w:val="99"/>
    <w:unhideWhenUsed/>
    <w:rsid w:val="001120BC"/>
    <w:rPr>
      <w:vertAlign w:val="superscript"/>
    </w:rPr>
  </w:style>
  <w:style w:type="paragraph" w:styleId="NormalnyWeb">
    <w:name w:val="Normal (Web)"/>
    <w:basedOn w:val="Normalny"/>
    <w:uiPriority w:val="99"/>
    <w:unhideWhenUsed/>
    <w:rsid w:val="001120BC"/>
    <w:pPr>
      <w:spacing w:after="0" w:line="240" w:lineRule="auto"/>
    </w:pPr>
    <w:rPr>
      <w:rFonts w:ascii="Times New Roman" w:hAnsi="Times New Roman" w:cs="Times New Roman"/>
      <w:sz w:val="24"/>
      <w:szCs w:val="24"/>
      <w:lang w:eastAsia="pl-PL"/>
    </w:rPr>
  </w:style>
  <w:style w:type="character" w:styleId="Uwydatnienie">
    <w:name w:val="Emphasis"/>
    <w:basedOn w:val="Domylnaczcionkaakapitu"/>
    <w:uiPriority w:val="20"/>
    <w:qFormat/>
    <w:rsid w:val="001120BC"/>
    <w:rPr>
      <w:i/>
      <w:iCs/>
    </w:rPr>
  </w:style>
  <w:style w:type="character" w:customStyle="1" w:styleId="A3">
    <w:name w:val="A3"/>
    <w:uiPriority w:val="99"/>
    <w:rsid w:val="001120BC"/>
    <w:rPr>
      <w:color w:val="000000"/>
      <w:sz w:val="40"/>
    </w:rPr>
  </w:style>
  <w:style w:type="paragraph" w:customStyle="1" w:styleId="Pa0">
    <w:name w:val="Pa0"/>
    <w:basedOn w:val="Normalny"/>
    <w:next w:val="Normalny"/>
    <w:uiPriority w:val="99"/>
    <w:rsid w:val="001120BC"/>
    <w:pPr>
      <w:autoSpaceDE w:val="0"/>
      <w:autoSpaceDN w:val="0"/>
      <w:adjustRightInd w:val="0"/>
      <w:spacing w:after="0" w:line="241" w:lineRule="atLeast"/>
    </w:pPr>
    <w:rPr>
      <w:rFonts w:ascii="Helvetica LT Std Light" w:eastAsia="Times New Roman" w:hAnsi="Helvetica LT Std Light" w:cs="Times New Roman"/>
      <w:sz w:val="24"/>
      <w:szCs w:val="24"/>
    </w:rPr>
  </w:style>
  <w:style w:type="character" w:customStyle="1" w:styleId="A0">
    <w:name w:val="A0"/>
    <w:uiPriority w:val="99"/>
    <w:rsid w:val="001120BC"/>
    <w:rPr>
      <w:color w:val="000000"/>
      <w:sz w:val="80"/>
    </w:rPr>
  </w:style>
  <w:style w:type="character" w:customStyle="1" w:styleId="A1">
    <w:name w:val="A1"/>
    <w:uiPriority w:val="99"/>
    <w:rsid w:val="001120BC"/>
    <w:rPr>
      <w:color w:val="000000"/>
      <w:sz w:val="60"/>
    </w:rPr>
  </w:style>
  <w:style w:type="character" w:customStyle="1" w:styleId="A2">
    <w:name w:val="A2"/>
    <w:uiPriority w:val="99"/>
    <w:rsid w:val="001120BC"/>
    <w:rPr>
      <w:rFonts w:ascii="Helvetica LT Std" w:hAnsi="Helvetica LT Std"/>
      <w:color w:val="000000"/>
      <w:sz w:val="16"/>
    </w:rPr>
  </w:style>
  <w:style w:type="paragraph" w:styleId="Stopka">
    <w:name w:val="footer"/>
    <w:basedOn w:val="Normalny"/>
    <w:link w:val="StopkaZnak"/>
    <w:uiPriority w:val="99"/>
    <w:unhideWhenUsed/>
    <w:rsid w:val="001120BC"/>
    <w:pPr>
      <w:tabs>
        <w:tab w:val="center" w:pos="4536"/>
        <w:tab w:val="right" w:pos="9072"/>
      </w:tabs>
      <w:spacing w:after="0" w:line="240" w:lineRule="auto"/>
    </w:pPr>
    <w:rPr>
      <w:rFonts w:ascii="Bookman Old Style" w:eastAsia="Calibri" w:hAnsi="Bookman Old Style" w:cs="Times New Roman"/>
    </w:rPr>
  </w:style>
  <w:style w:type="character" w:customStyle="1" w:styleId="StopkaZnak">
    <w:name w:val="Stopka Znak"/>
    <w:basedOn w:val="Domylnaczcionkaakapitu"/>
    <w:link w:val="Stopka"/>
    <w:uiPriority w:val="99"/>
    <w:rsid w:val="001120BC"/>
    <w:rPr>
      <w:rFonts w:ascii="Bookman Old Style" w:eastAsia="Calibri" w:hAnsi="Bookman Old Style"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2714</Words>
  <Characters>16289</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Plawgo Katarzyna</dc:creator>
  <cp:keywords/>
  <dc:description/>
  <cp:lastModifiedBy>Plawgo Katarzyna</cp:lastModifiedBy>
  <cp:revision>2</cp:revision>
  <dcterms:created xsi:type="dcterms:W3CDTF">2021-06-28T10:57:00Z</dcterms:created>
  <dcterms:modified xsi:type="dcterms:W3CDTF">2021-06-28T11:42:00Z</dcterms:modified>
</cp:coreProperties>
</file>