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14BAE" w14:textId="77777777" w:rsidR="004A3C05" w:rsidRDefault="004A3C05" w:rsidP="004A3C05">
      <w:pPr>
        <w:pStyle w:val="numerzalacznika"/>
      </w:pPr>
      <w:r>
        <w:t>Załącznik nr 1 do Zaproszenia do składania ofert</w:t>
      </w:r>
    </w:p>
    <w:p w14:paraId="3E213C62" w14:textId="77777777" w:rsidR="004A3C05" w:rsidRDefault="004A3C05" w:rsidP="004A3C05">
      <w:pPr>
        <w:pStyle w:val="tytulzalacznika"/>
      </w:pPr>
      <w:r>
        <w:t>Opis przedmiotu zamówienia</w:t>
      </w:r>
    </w:p>
    <w:p w14:paraId="434164A4" w14:textId="03B594B8" w:rsidR="004B2291" w:rsidRPr="00EC5E41" w:rsidRDefault="004B2291" w:rsidP="004A3C05">
      <w:pPr>
        <w:pStyle w:val="txt"/>
        <w:rPr>
          <w:rFonts w:eastAsia="Lora"/>
          <w:sz w:val="20"/>
        </w:rPr>
      </w:pPr>
      <w:r w:rsidRPr="00EC5E41">
        <w:rPr>
          <w:rFonts w:eastAsia="Lora"/>
          <w:sz w:val="20"/>
        </w:rPr>
        <w:t>Definicje:</w:t>
      </w:r>
    </w:p>
    <w:p w14:paraId="7C32C216" w14:textId="77777777" w:rsidR="004B2291" w:rsidRPr="00EC5E41" w:rsidRDefault="004B2291" w:rsidP="00EC5E41">
      <w:pPr>
        <w:pStyle w:val="numeracjaIrzadzwykly"/>
        <w:rPr>
          <w:rFonts w:eastAsia="Lora"/>
          <w:sz w:val="20"/>
        </w:rPr>
      </w:pPr>
      <w:r w:rsidRPr="00EC5E41">
        <w:rPr>
          <w:rFonts w:eastAsia="Lora"/>
          <w:sz w:val="20"/>
        </w:rPr>
        <w:t xml:space="preserve">„Administrator” – wyznaczony przez Zamawiającego użytkownik zarządzający Systemem i odpowiadający za jego sprawne działanie. </w:t>
      </w:r>
    </w:p>
    <w:p w14:paraId="424CB017" w14:textId="77777777" w:rsidR="004B2291" w:rsidRPr="00EC5E41" w:rsidRDefault="004B2291" w:rsidP="00EC5E41">
      <w:pPr>
        <w:pStyle w:val="numeracjaIrzadzwykly"/>
        <w:rPr>
          <w:rFonts w:eastAsia="Lora"/>
          <w:sz w:val="20"/>
        </w:rPr>
      </w:pPr>
      <w:r w:rsidRPr="00EC5E41">
        <w:rPr>
          <w:rFonts w:eastAsia="Lora"/>
          <w:sz w:val="20"/>
        </w:rPr>
        <w:t xml:space="preserve">„Awaria Krytyczna” – problem uniemożliwiający działanie przynajmniej jednego z komponentów Systemu powodujący, że Zamawiający nie może korzystać z Systemu i uzyskanie oczekiwanych efektów nie jest możliwe w inny sposób (Obejście). </w:t>
      </w:r>
    </w:p>
    <w:p w14:paraId="130C43FD" w14:textId="77777777" w:rsidR="004B2291" w:rsidRPr="00EC5E41" w:rsidRDefault="004B2291" w:rsidP="00EC5E41">
      <w:pPr>
        <w:pStyle w:val="numeracjaIrzadzwykly"/>
        <w:rPr>
          <w:rFonts w:eastAsia="Lora"/>
          <w:sz w:val="20"/>
        </w:rPr>
      </w:pPr>
      <w:r w:rsidRPr="00EC5E41">
        <w:rPr>
          <w:rFonts w:eastAsia="Lora"/>
          <w:sz w:val="20"/>
        </w:rPr>
        <w:t xml:space="preserve">„Błąd” – problem polegający, na co najmniej jednej z poniższych okoliczności: </w:t>
      </w:r>
    </w:p>
    <w:p w14:paraId="58990E63" w14:textId="77777777" w:rsidR="004B2291" w:rsidRPr="00EC5E41" w:rsidRDefault="004B2291" w:rsidP="00EC5E41">
      <w:pPr>
        <w:pStyle w:val="numeracjaIrzadzwykly"/>
        <w:numPr>
          <w:ilvl w:val="1"/>
          <w:numId w:val="10"/>
        </w:numPr>
        <w:tabs>
          <w:tab w:val="clear" w:pos="567"/>
        </w:tabs>
        <w:ind w:left="709"/>
        <w:rPr>
          <w:rFonts w:eastAsia="Lora"/>
          <w:sz w:val="20"/>
        </w:rPr>
      </w:pPr>
      <w:r w:rsidRPr="00EC5E41">
        <w:rPr>
          <w:rFonts w:eastAsia="Lora"/>
          <w:sz w:val="20"/>
        </w:rPr>
        <w:t xml:space="preserve">główne komponenty Systemu działają w sposób niezgodny z Dokumentacją Powykonawczą; </w:t>
      </w:r>
    </w:p>
    <w:p w14:paraId="02C9BEC4" w14:textId="77777777" w:rsidR="004B2291" w:rsidRPr="00EC5E41" w:rsidRDefault="004B2291" w:rsidP="00EC5E41">
      <w:pPr>
        <w:pStyle w:val="numeracjaIrzadzwykly"/>
        <w:numPr>
          <w:ilvl w:val="1"/>
          <w:numId w:val="10"/>
        </w:numPr>
        <w:tabs>
          <w:tab w:val="clear" w:pos="567"/>
        </w:tabs>
        <w:ind w:left="709"/>
        <w:rPr>
          <w:rFonts w:eastAsia="Lora"/>
          <w:sz w:val="20"/>
        </w:rPr>
      </w:pPr>
      <w:r w:rsidRPr="00EC5E41">
        <w:rPr>
          <w:rFonts w:eastAsia="Lora"/>
          <w:sz w:val="20"/>
        </w:rPr>
        <w:t xml:space="preserve">występują istotne ograniczenia w działaniu komponentów Systemu (ale nie powodujące jego przeciążenia); </w:t>
      </w:r>
    </w:p>
    <w:p w14:paraId="10A80DAB" w14:textId="77777777" w:rsidR="004B2291" w:rsidRPr="00EC5E41" w:rsidRDefault="004B2291" w:rsidP="00EC5E41">
      <w:pPr>
        <w:pStyle w:val="numeracjaIrzadzwykly"/>
        <w:numPr>
          <w:ilvl w:val="1"/>
          <w:numId w:val="10"/>
        </w:numPr>
        <w:tabs>
          <w:tab w:val="clear" w:pos="567"/>
        </w:tabs>
        <w:ind w:left="709"/>
        <w:rPr>
          <w:rFonts w:eastAsia="Lora"/>
          <w:sz w:val="20"/>
        </w:rPr>
      </w:pPr>
      <w:r w:rsidRPr="00EC5E41">
        <w:rPr>
          <w:rFonts w:eastAsia="Lora"/>
          <w:sz w:val="20"/>
        </w:rPr>
        <w:t xml:space="preserve">nastąpiła awaria powodująca ograniczenie wydajności Oprogramowania, w tym komponentów wytworzonych, bądź dostosowanych przez Wykonawcę; </w:t>
      </w:r>
    </w:p>
    <w:p w14:paraId="1A210FE6" w14:textId="77777777" w:rsidR="004B2291" w:rsidRPr="00EC5E41" w:rsidRDefault="004B2291" w:rsidP="00EC5E41">
      <w:pPr>
        <w:pStyle w:val="numeracjaIrzadzwykly"/>
        <w:numPr>
          <w:ilvl w:val="1"/>
          <w:numId w:val="10"/>
        </w:numPr>
        <w:tabs>
          <w:tab w:val="clear" w:pos="567"/>
        </w:tabs>
        <w:ind w:left="709"/>
        <w:rPr>
          <w:rFonts w:eastAsia="Lora"/>
          <w:sz w:val="20"/>
        </w:rPr>
      </w:pPr>
      <w:r w:rsidRPr="00EC5E41">
        <w:rPr>
          <w:rFonts w:eastAsia="Lora"/>
          <w:sz w:val="20"/>
        </w:rPr>
        <w:t xml:space="preserve">Zamawiający nie może korzystać z komponentów Systemu wytworzonych, bądź dostosowanych przez Wykonawcę, ale uzyskanie oczekiwanych efektów jest możliwe w inny sposób (Obejście). </w:t>
      </w:r>
    </w:p>
    <w:p w14:paraId="016BAC92" w14:textId="77777777" w:rsidR="004B2291" w:rsidRPr="00EC5E41" w:rsidRDefault="004B2291" w:rsidP="00EC5E41">
      <w:pPr>
        <w:pStyle w:val="numeracjaIrzadzwykly"/>
        <w:rPr>
          <w:rFonts w:eastAsia="Lora"/>
          <w:sz w:val="20"/>
        </w:rPr>
      </w:pPr>
      <w:r w:rsidRPr="00EC5E41">
        <w:rPr>
          <w:rFonts w:eastAsia="Lora"/>
          <w:sz w:val="20"/>
        </w:rPr>
        <w:t xml:space="preserve">„Czas Reakcji” – czas, jaki upłynie od zgłoszenia w Systemie Obsługi Zgłoszeń Serwisowych Awarii Krytycznej, Błędu lub Usterki do potwierdzenia rozpoczęcia analizy zgłoszenia i usuwania Awarii Krytycznej, Błędu, Usterki przez służby techniczne Wykonawcy. </w:t>
      </w:r>
    </w:p>
    <w:p w14:paraId="1AC8117E" w14:textId="77777777" w:rsidR="004B2291" w:rsidRPr="00EC5E41" w:rsidRDefault="004B2291" w:rsidP="00EC5E41">
      <w:pPr>
        <w:pStyle w:val="numeracjaIrzadzwykly"/>
        <w:rPr>
          <w:rFonts w:eastAsia="Lora"/>
          <w:sz w:val="20"/>
        </w:rPr>
      </w:pPr>
      <w:r w:rsidRPr="00EC5E41">
        <w:rPr>
          <w:rFonts w:eastAsia="Lora"/>
          <w:sz w:val="20"/>
        </w:rPr>
        <w:t xml:space="preserve">„Czas Naprawy” – czas, jaki upłynie od zgłoszenia w Systemie Obsługi Zgłoszeń Serwisowych Nieprawidłowości do momentu usunięcia Nieprawidłowości w działaniu Systemu przez służby techniczne Wykonawcy, tj. do usunięcia lub obejścia Awarii Krytycznej, Błędu lub Usterki i potwierdzenia usunięcia Nieprawidłowości przez Zamawiającego. Do Czasu Naprawy nie wlicza się czasu oczekiwania na odpowiedź Zamawiającego. Czas Naprawy zgłoszeń dla Awarii Krytycznej i/lub Błędów i/lub Usterek liczony jest w Dniach Roboczych i w Godzinach Roboczych.  </w:t>
      </w:r>
    </w:p>
    <w:p w14:paraId="0853C7F3" w14:textId="77777777" w:rsidR="004B2291" w:rsidRPr="00EC5E41" w:rsidRDefault="004B2291" w:rsidP="00EC5E41">
      <w:pPr>
        <w:pStyle w:val="numeracjaIrzadzwykly"/>
        <w:rPr>
          <w:rFonts w:eastAsia="Lora"/>
          <w:sz w:val="20"/>
        </w:rPr>
      </w:pPr>
      <w:r w:rsidRPr="00EC5E41">
        <w:rPr>
          <w:rFonts w:eastAsia="Lora"/>
          <w:sz w:val="20"/>
        </w:rPr>
        <w:t xml:space="preserve">„Dni Kalendarzowe” – kolejne następujące po sobie dni obejmujące 24 godziny, od godz. 00:00 do godz. 23:59. </w:t>
      </w:r>
    </w:p>
    <w:p w14:paraId="112A6499" w14:textId="77777777" w:rsidR="004B2291" w:rsidRPr="00EC5E41" w:rsidRDefault="004B2291" w:rsidP="00EC5E41">
      <w:pPr>
        <w:pStyle w:val="numeracjaIrzadzwykly"/>
        <w:rPr>
          <w:rFonts w:eastAsia="Lora"/>
          <w:sz w:val="20"/>
        </w:rPr>
      </w:pPr>
      <w:r w:rsidRPr="00EC5E41">
        <w:rPr>
          <w:rFonts w:eastAsia="Lora"/>
          <w:sz w:val="20"/>
        </w:rPr>
        <w:t>„Dni Robocze” – kolejne dni od poniedziałku do piątku, za wyjątkiem dni wolnych zgodnie z ustawą z dnia 18 stycznia 1951 r. o dniach wolnych od pracy (</w:t>
      </w:r>
      <w:proofErr w:type="spellStart"/>
      <w:r w:rsidRPr="00EC5E41">
        <w:rPr>
          <w:rFonts w:eastAsia="Lora"/>
          <w:sz w:val="20"/>
        </w:rPr>
        <w:t>t.j</w:t>
      </w:r>
      <w:proofErr w:type="spellEnd"/>
      <w:r w:rsidRPr="00EC5E41">
        <w:rPr>
          <w:rFonts w:eastAsia="Lora"/>
          <w:sz w:val="20"/>
        </w:rPr>
        <w:t xml:space="preserve">. Dz. U. z 2025 r. poz. 296 z </w:t>
      </w:r>
      <w:proofErr w:type="spellStart"/>
      <w:r w:rsidRPr="00EC5E41">
        <w:rPr>
          <w:rFonts w:eastAsia="Lora"/>
          <w:sz w:val="20"/>
        </w:rPr>
        <w:t>późn</w:t>
      </w:r>
      <w:proofErr w:type="spellEnd"/>
      <w:r w:rsidRPr="00EC5E41">
        <w:rPr>
          <w:rFonts w:eastAsia="Lora"/>
          <w:sz w:val="20"/>
        </w:rPr>
        <w:t xml:space="preserve">. zm.) w Godzinach Roboczych (08:00 – 16:00). </w:t>
      </w:r>
    </w:p>
    <w:p w14:paraId="2261FCF7" w14:textId="77777777" w:rsidR="004B2291" w:rsidRPr="00EC5E41" w:rsidRDefault="004B2291" w:rsidP="00EC5E41">
      <w:pPr>
        <w:pStyle w:val="numeracjaIrzadzwykly"/>
        <w:rPr>
          <w:rFonts w:eastAsia="Lora"/>
          <w:sz w:val="20"/>
        </w:rPr>
      </w:pPr>
      <w:r w:rsidRPr="00EC5E41">
        <w:rPr>
          <w:rFonts w:eastAsia="Lora"/>
          <w:sz w:val="20"/>
        </w:rPr>
        <w:t xml:space="preserve">„Dokumentacja” – wszelkie dokumenty sporządzone przez Wykonawcę lub wspólnie przez Strony Umowy w przewidzianej formie, w związku z wykonywaniem Przedmiotu Umowy przekazywane zgodnie z Umową Zamawiającemu, w szczególności Dokumentacja Powykonawcza i Dokumentacja Administratora. </w:t>
      </w:r>
    </w:p>
    <w:p w14:paraId="2432547B" w14:textId="77777777" w:rsidR="004B2291" w:rsidRPr="00EC5E41" w:rsidRDefault="004B2291" w:rsidP="00EC5E41">
      <w:pPr>
        <w:pStyle w:val="numeracjaIrzadzwykly"/>
        <w:rPr>
          <w:rFonts w:eastAsia="Lora"/>
          <w:sz w:val="20"/>
        </w:rPr>
      </w:pPr>
      <w:r w:rsidRPr="00EC5E41">
        <w:rPr>
          <w:rFonts w:eastAsia="Lora"/>
          <w:sz w:val="20"/>
        </w:rPr>
        <w:t>„Dokumentacja Administratora” – Wytworzona w ramach Umowy dokumentacja zawierająca opis czynności i zasad umożliwiających Administratorom wykorzystywanie wszystkich cech funkcjonalnych Systemu w zakresie przewidzianym dla pracy Administratora. Dokumentacja Administratora powinna składać się co najmniej z:</w:t>
      </w:r>
    </w:p>
    <w:p w14:paraId="39DFAC1E" w14:textId="77777777" w:rsidR="004B2291" w:rsidRPr="00EC5E41" w:rsidRDefault="004B2291" w:rsidP="00EC5E41">
      <w:pPr>
        <w:pStyle w:val="numeracjaIrzadzwykly"/>
        <w:numPr>
          <w:ilvl w:val="1"/>
          <w:numId w:val="11"/>
        </w:numPr>
        <w:tabs>
          <w:tab w:val="clear" w:pos="567"/>
          <w:tab w:val="left" w:pos="709"/>
        </w:tabs>
        <w:ind w:left="709" w:hanging="283"/>
        <w:rPr>
          <w:rFonts w:eastAsia="Lora"/>
          <w:sz w:val="20"/>
        </w:rPr>
      </w:pPr>
      <w:r w:rsidRPr="00EC5E41">
        <w:rPr>
          <w:rFonts w:eastAsia="Lora"/>
          <w:sz w:val="20"/>
        </w:rPr>
        <w:t xml:space="preserve">opisu wraz z procedurami instalacji i konfiguracji całego Systemu; </w:t>
      </w:r>
    </w:p>
    <w:p w14:paraId="54DACA49" w14:textId="77777777" w:rsidR="004B2291" w:rsidRPr="00EC5E41" w:rsidRDefault="004B2291" w:rsidP="00EC5E41">
      <w:pPr>
        <w:pStyle w:val="numeracjaIrzadzwykly"/>
        <w:numPr>
          <w:ilvl w:val="1"/>
          <w:numId w:val="11"/>
        </w:numPr>
        <w:tabs>
          <w:tab w:val="clear" w:pos="567"/>
          <w:tab w:val="left" w:pos="709"/>
        </w:tabs>
        <w:ind w:left="709" w:hanging="283"/>
        <w:rPr>
          <w:rFonts w:eastAsia="Lora"/>
          <w:sz w:val="20"/>
        </w:rPr>
      </w:pPr>
      <w:r w:rsidRPr="00EC5E41">
        <w:rPr>
          <w:rFonts w:eastAsia="Lora"/>
          <w:sz w:val="20"/>
        </w:rPr>
        <w:t xml:space="preserve">opisu instalacji baz danych Systemu; </w:t>
      </w:r>
    </w:p>
    <w:p w14:paraId="688F2A55" w14:textId="77777777" w:rsidR="004B2291" w:rsidRPr="00EC5E41" w:rsidRDefault="004B2291" w:rsidP="00EC5E41">
      <w:pPr>
        <w:pStyle w:val="numeracjaIrzadzwykly"/>
        <w:numPr>
          <w:ilvl w:val="1"/>
          <w:numId w:val="11"/>
        </w:numPr>
        <w:tabs>
          <w:tab w:val="clear" w:pos="567"/>
          <w:tab w:val="left" w:pos="709"/>
        </w:tabs>
        <w:ind w:left="709" w:hanging="283"/>
        <w:rPr>
          <w:rFonts w:eastAsia="Lora"/>
          <w:sz w:val="20"/>
        </w:rPr>
      </w:pPr>
      <w:r w:rsidRPr="00EC5E41">
        <w:rPr>
          <w:rFonts w:eastAsia="Lora"/>
          <w:sz w:val="20"/>
        </w:rPr>
        <w:t xml:space="preserve">opisu konfiguracji stacji roboczych; </w:t>
      </w:r>
    </w:p>
    <w:p w14:paraId="5757FA96" w14:textId="77777777" w:rsidR="004B2291" w:rsidRPr="00EC5E41" w:rsidRDefault="004B2291" w:rsidP="00EC5E41">
      <w:pPr>
        <w:pStyle w:val="numeracjaIrzadzwykly"/>
        <w:numPr>
          <w:ilvl w:val="1"/>
          <w:numId w:val="11"/>
        </w:numPr>
        <w:tabs>
          <w:tab w:val="clear" w:pos="567"/>
          <w:tab w:val="left" w:pos="709"/>
        </w:tabs>
        <w:ind w:left="709" w:hanging="283"/>
        <w:rPr>
          <w:rFonts w:eastAsia="Lora"/>
          <w:sz w:val="20"/>
        </w:rPr>
      </w:pPr>
      <w:r w:rsidRPr="00EC5E41">
        <w:rPr>
          <w:rFonts w:eastAsia="Lora"/>
          <w:sz w:val="20"/>
        </w:rPr>
        <w:t xml:space="preserve">opisu wymaganych pakietów instalacyjnych i ich wersji; </w:t>
      </w:r>
    </w:p>
    <w:p w14:paraId="6535220F" w14:textId="77777777" w:rsidR="004B2291" w:rsidRPr="00EC5E41" w:rsidRDefault="004B2291" w:rsidP="00EC5E41">
      <w:pPr>
        <w:pStyle w:val="numeracjaIrzadzwykly"/>
        <w:numPr>
          <w:ilvl w:val="1"/>
          <w:numId w:val="11"/>
        </w:numPr>
        <w:tabs>
          <w:tab w:val="clear" w:pos="567"/>
          <w:tab w:val="left" w:pos="709"/>
        </w:tabs>
        <w:ind w:left="709" w:hanging="283"/>
        <w:rPr>
          <w:rFonts w:eastAsia="Lora"/>
          <w:sz w:val="20"/>
        </w:rPr>
      </w:pPr>
      <w:r w:rsidRPr="00EC5E41">
        <w:rPr>
          <w:rFonts w:eastAsia="Lora"/>
          <w:sz w:val="20"/>
        </w:rPr>
        <w:t xml:space="preserve">procedur archiwizacji i odtwarzania danych; </w:t>
      </w:r>
    </w:p>
    <w:p w14:paraId="426883EC" w14:textId="77777777" w:rsidR="004B2291" w:rsidRPr="00EC5E41" w:rsidRDefault="004B2291" w:rsidP="00EC5E41">
      <w:pPr>
        <w:pStyle w:val="numeracjaIrzadzwykly"/>
        <w:numPr>
          <w:ilvl w:val="1"/>
          <w:numId w:val="11"/>
        </w:numPr>
        <w:tabs>
          <w:tab w:val="clear" w:pos="567"/>
          <w:tab w:val="left" w:pos="709"/>
        </w:tabs>
        <w:ind w:left="709" w:hanging="283"/>
        <w:rPr>
          <w:rFonts w:eastAsia="Lora"/>
          <w:sz w:val="20"/>
        </w:rPr>
      </w:pPr>
      <w:r w:rsidRPr="00EC5E41">
        <w:rPr>
          <w:rFonts w:eastAsia="Lora"/>
          <w:sz w:val="20"/>
        </w:rPr>
        <w:t xml:space="preserve">wymaganych formatów danych przy imporcie i eksporcie; </w:t>
      </w:r>
    </w:p>
    <w:p w14:paraId="3E99D2D8" w14:textId="77777777" w:rsidR="004B2291" w:rsidRPr="00EC5E41" w:rsidRDefault="004B2291" w:rsidP="00EC5E41">
      <w:pPr>
        <w:pStyle w:val="numeracjaIrzadzwykly"/>
        <w:numPr>
          <w:ilvl w:val="1"/>
          <w:numId w:val="11"/>
        </w:numPr>
        <w:tabs>
          <w:tab w:val="clear" w:pos="567"/>
          <w:tab w:val="left" w:pos="709"/>
        </w:tabs>
        <w:ind w:left="709" w:hanging="283"/>
        <w:rPr>
          <w:rFonts w:eastAsia="Lora"/>
          <w:sz w:val="20"/>
        </w:rPr>
      </w:pPr>
      <w:r w:rsidRPr="00EC5E41">
        <w:rPr>
          <w:rFonts w:eastAsia="Lora"/>
          <w:sz w:val="20"/>
        </w:rPr>
        <w:t xml:space="preserve">instrukcji postepowania w sytuacjach awaryjnych. </w:t>
      </w:r>
    </w:p>
    <w:p w14:paraId="2E3A87B4" w14:textId="77777777" w:rsidR="004B2291" w:rsidRPr="00EC5E41" w:rsidRDefault="004B2291" w:rsidP="00EC5E41">
      <w:pPr>
        <w:pStyle w:val="numeracjaIrzadzwykly"/>
        <w:rPr>
          <w:rFonts w:eastAsia="Lora"/>
          <w:sz w:val="20"/>
        </w:rPr>
      </w:pPr>
      <w:r w:rsidRPr="00EC5E41">
        <w:rPr>
          <w:rFonts w:eastAsia="Lora"/>
          <w:sz w:val="20"/>
        </w:rPr>
        <w:lastRenderedPageBreak/>
        <w:t xml:space="preserve">„Dokumentacja Powykonawcza” – dokumentacja dla Systemu zawierająca co najmniej: </w:t>
      </w:r>
    </w:p>
    <w:p w14:paraId="1674D910" w14:textId="77777777" w:rsidR="004B2291" w:rsidRPr="00EC5E41" w:rsidRDefault="004B2291" w:rsidP="00EC5E41">
      <w:pPr>
        <w:pStyle w:val="numeracjaIrzadzwykly"/>
        <w:numPr>
          <w:ilvl w:val="1"/>
          <w:numId w:val="12"/>
        </w:numPr>
        <w:tabs>
          <w:tab w:val="clear" w:pos="567"/>
          <w:tab w:val="left" w:pos="709"/>
        </w:tabs>
        <w:ind w:left="709" w:hanging="283"/>
        <w:rPr>
          <w:rFonts w:eastAsia="Lora"/>
          <w:sz w:val="20"/>
        </w:rPr>
      </w:pPr>
      <w:r w:rsidRPr="00EC5E41">
        <w:rPr>
          <w:rFonts w:eastAsia="Lora"/>
          <w:sz w:val="20"/>
        </w:rPr>
        <w:t xml:space="preserve">opis konfiguracji i parametryzacji Systemu; </w:t>
      </w:r>
    </w:p>
    <w:p w14:paraId="1BB7F808" w14:textId="77777777" w:rsidR="004B2291" w:rsidRPr="00EC5E41" w:rsidRDefault="004B2291" w:rsidP="00EC5E41">
      <w:pPr>
        <w:pStyle w:val="numeracjaIrzadzwykly"/>
        <w:numPr>
          <w:ilvl w:val="1"/>
          <w:numId w:val="12"/>
        </w:numPr>
        <w:tabs>
          <w:tab w:val="clear" w:pos="567"/>
          <w:tab w:val="left" w:pos="709"/>
        </w:tabs>
        <w:ind w:left="709" w:hanging="283"/>
        <w:rPr>
          <w:rFonts w:eastAsia="Lora"/>
          <w:sz w:val="20"/>
        </w:rPr>
      </w:pPr>
      <w:r w:rsidRPr="00EC5E41">
        <w:rPr>
          <w:rFonts w:eastAsia="Lora"/>
          <w:sz w:val="20"/>
        </w:rPr>
        <w:t xml:space="preserve">opis rozszerzeń modyfikacji, dostosowań do potrzeb Zamawiającego; </w:t>
      </w:r>
    </w:p>
    <w:p w14:paraId="7BB30DBD" w14:textId="77777777" w:rsidR="004B2291" w:rsidRPr="00EC5E41" w:rsidRDefault="004B2291" w:rsidP="00EC5E41">
      <w:pPr>
        <w:pStyle w:val="numeracjaIrzadzwykly"/>
        <w:numPr>
          <w:ilvl w:val="1"/>
          <w:numId w:val="12"/>
        </w:numPr>
        <w:tabs>
          <w:tab w:val="clear" w:pos="567"/>
          <w:tab w:val="left" w:pos="709"/>
        </w:tabs>
        <w:ind w:left="709" w:hanging="283"/>
        <w:rPr>
          <w:rFonts w:eastAsia="Lora"/>
          <w:sz w:val="20"/>
        </w:rPr>
      </w:pPr>
      <w:r w:rsidRPr="00EC5E41">
        <w:rPr>
          <w:rFonts w:eastAsia="Lora"/>
          <w:sz w:val="20"/>
        </w:rPr>
        <w:t xml:space="preserve">opis sposobu i zasad integracji z systemami zewnętrznymi; </w:t>
      </w:r>
    </w:p>
    <w:p w14:paraId="1F230CC4" w14:textId="77777777" w:rsidR="004B2291" w:rsidRPr="00EC5E41" w:rsidRDefault="004B2291" w:rsidP="00EC5E41">
      <w:pPr>
        <w:pStyle w:val="numeracjaIrzadzwykly"/>
        <w:numPr>
          <w:ilvl w:val="1"/>
          <w:numId w:val="12"/>
        </w:numPr>
        <w:tabs>
          <w:tab w:val="clear" w:pos="567"/>
          <w:tab w:val="left" w:pos="709"/>
        </w:tabs>
        <w:ind w:left="709" w:hanging="283"/>
        <w:rPr>
          <w:rFonts w:eastAsia="Lora"/>
          <w:sz w:val="20"/>
        </w:rPr>
      </w:pPr>
      <w:r w:rsidRPr="00EC5E41">
        <w:rPr>
          <w:rFonts w:eastAsia="Lora"/>
          <w:sz w:val="20"/>
        </w:rPr>
        <w:t xml:space="preserve">opis programowych zasad bezpieczeństwa i ochrony danych. </w:t>
      </w:r>
    </w:p>
    <w:p w14:paraId="1EAD6D7B" w14:textId="77777777" w:rsidR="004B2291" w:rsidRPr="00EC5E41" w:rsidRDefault="004B2291" w:rsidP="00EC5E41">
      <w:pPr>
        <w:pStyle w:val="numeracjaIrzadzwykly"/>
        <w:rPr>
          <w:rFonts w:eastAsia="Lora"/>
          <w:sz w:val="20"/>
        </w:rPr>
      </w:pPr>
      <w:r w:rsidRPr="00EC5E41">
        <w:rPr>
          <w:rFonts w:eastAsia="Lora"/>
          <w:sz w:val="20"/>
        </w:rPr>
        <w:t>„Godziny Robocze” – godziny urzędowania Zamawiającego, tj. 8:00–16:00, w Dniach Roboczych.</w:t>
      </w:r>
    </w:p>
    <w:p w14:paraId="7E4DDCF3" w14:textId="77777777" w:rsidR="004B2291" w:rsidRPr="00EC5E41" w:rsidRDefault="004B2291" w:rsidP="00EC5E41">
      <w:pPr>
        <w:pStyle w:val="numeracjaIrzadzwykly"/>
        <w:rPr>
          <w:rFonts w:eastAsia="Lora"/>
          <w:sz w:val="20"/>
        </w:rPr>
      </w:pPr>
      <w:r w:rsidRPr="00EC5E41">
        <w:rPr>
          <w:rFonts w:eastAsia="Lora"/>
          <w:sz w:val="20"/>
        </w:rPr>
        <w:t xml:space="preserve">„Gwarancja” – diagnozowanie i naprawa Oprogramowania wykonanego zgodnie z wymaganiami Umowy i pełnienie Serwisu Utrzymaniowego w okresie obowiązywania Umowy zgodnie z jej postanowieniami. </w:t>
      </w:r>
    </w:p>
    <w:p w14:paraId="0C224B3E" w14:textId="77777777" w:rsidR="004B2291" w:rsidRPr="00EC5E41" w:rsidRDefault="004B2291" w:rsidP="00EC5E41">
      <w:pPr>
        <w:pStyle w:val="numeracjaIrzadzwykly"/>
        <w:rPr>
          <w:rFonts w:eastAsia="Lora"/>
          <w:sz w:val="20"/>
        </w:rPr>
      </w:pPr>
      <w:r w:rsidRPr="00EC5E41">
        <w:rPr>
          <w:rFonts w:eastAsia="Lora"/>
          <w:sz w:val="20"/>
        </w:rPr>
        <w:t>„Implementacja Zmian na Stronach Pochodnych” – obowiązek wykonania przez Wykonawcę wszystkich aktualizacji, zmian, poprawek, wdrożeń, funkcjonalności, modyfikacji projektowych oraz wszelkich zmian wynikających ze świadczenia usług na stronie głównej PAN również na Stronach Pochodnych, zapewniając ich pełną zgodność funkcjonalną, wizualną, projektową i technologiczną.</w:t>
      </w:r>
    </w:p>
    <w:p w14:paraId="1AAD51D5" w14:textId="77777777" w:rsidR="004B2291" w:rsidRPr="00EC5E41" w:rsidRDefault="004B2291" w:rsidP="00EC5E41">
      <w:pPr>
        <w:pStyle w:val="numeracjaIrzadzwykly"/>
        <w:rPr>
          <w:rFonts w:eastAsia="Lora"/>
          <w:sz w:val="20"/>
        </w:rPr>
      </w:pPr>
      <w:r w:rsidRPr="00EC5E41">
        <w:rPr>
          <w:rFonts w:eastAsia="Lora"/>
          <w:sz w:val="20"/>
        </w:rPr>
        <w:t xml:space="preserve">„Infrastruktura Zamawiającego” – infrastruktura informatyczna (w tym sprzęt i oprogramowanie) Zamawiającego, udostępniona przez Zamawiającego na potrzeby realizacji Umowy. </w:t>
      </w:r>
    </w:p>
    <w:p w14:paraId="062916B9" w14:textId="77777777" w:rsidR="004B2291" w:rsidRPr="00EC5E41" w:rsidRDefault="004B2291" w:rsidP="00EC5E41">
      <w:pPr>
        <w:pStyle w:val="numeracjaIrzadzwykly"/>
        <w:rPr>
          <w:rFonts w:eastAsia="Lora"/>
          <w:sz w:val="20"/>
        </w:rPr>
      </w:pPr>
      <w:r w:rsidRPr="00EC5E41">
        <w:rPr>
          <w:rFonts w:eastAsia="Lora"/>
          <w:sz w:val="20"/>
        </w:rPr>
        <w:t xml:space="preserve">„Nieprawidłowość” – wszelkie problemy (wady) w działaniu Systemu, w tym Awarie Krytyczne, Błędy, Usterki. </w:t>
      </w:r>
    </w:p>
    <w:p w14:paraId="71596F7A" w14:textId="77777777" w:rsidR="004B2291" w:rsidRPr="00EC5E41" w:rsidRDefault="004B2291" w:rsidP="00EC5E41">
      <w:pPr>
        <w:pStyle w:val="numeracjaIrzadzwykly"/>
        <w:rPr>
          <w:rFonts w:eastAsia="Lora"/>
          <w:sz w:val="20"/>
        </w:rPr>
      </w:pPr>
      <w:r w:rsidRPr="00EC5E41">
        <w:rPr>
          <w:rFonts w:eastAsia="Lora"/>
          <w:sz w:val="20"/>
        </w:rPr>
        <w:t xml:space="preserve">„Obejście” – przywrócenie działania Oprogramowania do stanu sprzed wystąpienia Awarii Krytycznej, Błędu lub Usterki z możliwymi ograniczeniami sposobu korzystania z Oprogramowania, nieumożliwiającymi jednak realizacji funkcji obsługiwanych przez Oprogramowanie. Obejście nie stanowi usunięcia Nieprawidłowości. </w:t>
      </w:r>
    </w:p>
    <w:p w14:paraId="0F1684F9" w14:textId="77777777" w:rsidR="004B2291" w:rsidRPr="00EC5E41" w:rsidRDefault="004B2291" w:rsidP="00EC5E41">
      <w:pPr>
        <w:pStyle w:val="numeracjaIrzadzwykly"/>
        <w:rPr>
          <w:rFonts w:eastAsia="Lora"/>
          <w:sz w:val="20"/>
        </w:rPr>
      </w:pPr>
      <w:r w:rsidRPr="00EC5E41">
        <w:rPr>
          <w:rFonts w:eastAsia="Lora"/>
          <w:sz w:val="20"/>
        </w:rPr>
        <w:t xml:space="preserve">„Odbiór” – potwierdzenie przez Zamawiającego należytego wykonania przez Wykonawcę Przedmiotu Umowy w zakresie Usług Serwisu Utrzymaniowego lub Usług Rozwoju. Dowodem dokonania Odbioru jest odpowiedni Protokół Odbioru, którego wzór stanowi Załącznik nr 4.  </w:t>
      </w:r>
    </w:p>
    <w:p w14:paraId="6DF7FC6D" w14:textId="77777777" w:rsidR="004B2291" w:rsidRPr="00EC5E41" w:rsidRDefault="004B2291" w:rsidP="00EC5E41">
      <w:pPr>
        <w:pStyle w:val="numeracjaIrzadzwykly"/>
        <w:rPr>
          <w:rFonts w:eastAsia="Lora"/>
          <w:sz w:val="20"/>
        </w:rPr>
      </w:pPr>
      <w:r w:rsidRPr="00EC5E41">
        <w:rPr>
          <w:rFonts w:eastAsia="Lora"/>
          <w:sz w:val="20"/>
        </w:rPr>
        <w:t>„Odbiór Warunkowy” – Odbiór stanowiący przekazanie Zamawiającemu przedmiotu odbioru połączony z zobowiązaniem Wykonawcy do usunięcia wszystkich Nieprawidłowości zgłoszonych przez Zamawiającego w terminach przyjętych w Protokole Odbioru Warunkowego i przedstawienia przedmiotu odbioru do kolejnego Odbioru. Dowodem dokonania Odbioru Warunkowego jest odpowiedni Protokół Odbioru Warunkowego, którego wzór stanowi Załącznik nr 5.</w:t>
      </w:r>
    </w:p>
    <w:p w14:paraId="5D9BD5BC" w14:textId="77777777" w:rsidR="004B2291" w:rsidRPr="00EC5E41" w:rsidRDefault="004B2291" w:rsidP="00EC5E41">
      <w:pPr>
        <w:pStyle w:val="numeracjaIrzadzwykly"/>
        <w:rPr>
          <w:rFonts w:eastAsia="Lora"/>
          <w:sz w:val="20"/>
        </w:rPr>
      </w:pPr>
      <w:r w:rsidRPr="00EC5E41">
        <w:rPr>
          <w:rFonts w:eastAsia="Lora"/>
          <w:sz w:val="20"/>
        </w:rPr>
        <w:t xml:space="preserve">„Oprogramowanie” – całość lub dowolny element oprogramowania, w którego skład wchodzi: </w:t>
      </w:r>
    </w:p>
    <w:p w14:paraId="3E637C1E" w14:textId="77777777" w:rsidR="004B2291" w:rsidRPr="00EC5E41" w:rsidRDefault="004B2291" w:rsidP="00EC5E41">
      <w:pPr>
        <w:pStyle w:val="numeracjaIrzadzwykly"/>
        <w:numPr>
          <w:ilvl w:val="1"/>
          <w:numId w:val="13"/>
        </w:numPr>
        <w:tabs>
          <w:tab w:val="clear" w:pos="567"/>
          <w:tab w:val="left" w:pos="709"/>
        </w:tabs>
        <w:ind w:left="709" w:hanging="283"/>
        <w:rPr>
          <w:rFonts w:eastAsia="Lora"/>
          <w:sz w:val="20"/>
        </w:rPr>
      </w:pPr>
      <w:r w:rsidRPr="00EC5E41">
        <w:rPr>
          <w:rFonts w:eastAsia="Lora"/>
          <w:sz w:val="20"/>
        </w:rPr>
        <w:t xml:space="preserve">„Oprogramowanie Standardowe” – oprogramowanie wytwarzane seryjnie niezależnie oraz bez związku z realizacją niniejszej Umowy będące podstawą do stworzenia Systemu i tworzące środowisko, w którym uruchamiany jest System, istniejące i dystrybuowane w formie istniejącego gotowego produktu przed zawarciem Umowy; </w:t>
      </w:r>
    </w:p>
    <w:p w14:paraId="099D572E" w14:textId="77777777" w:rsidR="004B2291" w:rsidRPr="00EC5E41" w:rsidRDefault="004B2291" w:rsidP="00EC5E41">
      <w:pPr>
        <w:pStyle w:val="numeracjaIrzadzwykly"/>
        <w:numPr>
          <w:ilvl w:val="1"/>
          <w:numId w:val="13"/>
        </w:numPr>
        <w:tabs>
          <w:tab w:val="clear" w:pos="567"/>
          <w:tab w:val="left" w:pos="709"/>
        </w:tabs>
        <w:ind w:left="709" w:hanging="283"/>
        <w:rPr>
          <w:rFonts w:eastAsia="Lora"/>
          <w:sz w:val="20"/>
        </w:rPr>
      </w:pPr>
      <w:r w:rsidRPr="00EC5E41">
        <w:rPr>
          <w:rFonts w:eastAsia="Lora"/>
          <w:sz w:val="20"/>
        </w:rPr>
        <w:t xml:space="preserve">„Oprogramowanie Dedykowane” – oprogramowanie tworzone przez Wykonawcę, w tym rozbudowa lub modyfikacja Oprogramowania Standardowego. W celu usunięcia wątpliwości oprogramowanie, które nie stanowi Oprogramowania Standardowego stanowi Oprogramowanie Dedykowane. Jeżeli Wykonawca dla realizacji Systemu nie korzysta z Oprogramowania Standardowego całość wytworzonego i przekazanego Zamawiającego Oprogramowania stanowi Oprogramowanie Dedykowane.  </w:t>
      </w:r>
    </w:p>
    <w:p w14:paraId="74262FBD" w14:textId="77777777" w:rsidR="004B2291" w:rsidRPr="00EC5E41" w:rsidRDefault="004B2291" w:rsidP="00EC5E41">
      <w:pPr>
        <w:pStyle w:val="numeracjaIrzadzwykly"/>
        <w:rPr>
          <w:rFonts w:eastAsia="Lora"/>
          <w:sz w:val="20"/>
        </w:rPr>
      </w:pPr>
      <w:r w:rsidRPr="00EC5E41">
        <w:rPr>
          <w:rFonts w:eastAsia="Lora"/>
          <w:sz w:val="20"/>
        </w:rPr>
        <w:t xml:space="preserve">„PAN” – Polska Akademia Nauk. </w:t>
      </w:r>
    </w:p>
    <w:p w14:paraId="7802500E" w14:textId="77777777" w:rsidR="004B2291" w:rsidRPr="00EC5E41" w:rsidRDefault="004B2291" w:rsidP="00EC5E41">
      <w:pPr>
        <w:pStyle w:val="numeracjaIrzadzwykly"/>
        <w:rPr>
          <w:rFonts w:eastAsia="Lora"/>
          <w:sz w:val="20"/>
        </w:rPr>
      </w:pPr>
      <w:r w:rsidRPr="00EC5E41">
        <w:rPr>
          <w:rFonts w:eastAsia="Lora"/>
          <w:sz w:val="20"/>
        </w:rPr>
        <w:t xml:space="preserve">„Serwis Utrzymaniowy” – usługi świadczone przez Wykonawcę określone w § 2 Umowy mające na celu zapewnienie prawidłowego działania Systemu. </w:t>
      </w:r>
    </w:p>
    <w:p w14:paraId="0BC62698" w14:textId="77777777" w:rsidR="004B2291" w:rsidRPr="00EC5E41" w:rsidRDefault="004B2291" w:rsidP="00EC5E41">
      <w:pPr>
        <w:pStyle w:val="numeracjaIrzadzwykly"/>
        <w:rPr>
          <w:rFonts w:eastAsia="Lora"/>
          <w:sz w:val="20"/>
        </w:rPr>
      </w:pPr>
      <w:r w:rsidRPr="00EC5E41">
        <w:rPr>
          <w:rFonts w:eastAsia="Lora"/>
          <w:sz w:val="20"/>
        </w:rPr>
        <w:t xml:space="preserve">„Siła Wyższa” – zdarzenia zewnętrzne, niemożliwe (lub prawie niemożliwe) do przewidzenia, których skutkom Strony nie mogły zapobiec, pomimo zachowania należytej staranności, w szczególności takie jak katastrofy naturalne, działania wojenne, ataki terrorystyczne, strajki, rozruchy. </w:t>
      </w:r>
    </w:p>
    <w:p w14:paraId="4BC35249" w14:textId="77777777" w:rsidR="004B2291" w:rsidRPr="00EC5E41" w:rsidRDefault="004B2291" w:rsidP="00EC5E41">
      <w:pPr>
        <w:pStyle w:val="numeracjaIrzadzwykly"/>
        <w:rPr>
          <w:rFonts w:eastAsia="Lora"/>
          <w:sz w:val="20"/>
        </w:rPr>
      </w:pPr>
      <w:r w:rsidRPr="00EC5E41">
        <w:rPr>
          <w:rFonts w:eastAsia="Lora"/>
          <w:sz w:val="20"/>
        </w:rPr>
        <w:t xml:space="preserve">„SLA” – (ang. Service Level Agreement) – opisane Umową parametry poziomu świadczenia przez Wykonawcę usług Serwisu Utrzymaniowego. </w:t>
      </w:r>
    </w:p>
    <w:p w14:paraId="1F3895C9" w14:textId="77777777" w:rsidR="004B2291" w:rsidRPr="00EC5E41" w:rsidRDefault="004B2291" w:rsidP="00EC5E41">
      <w:pPr>
        <w:pStyle w:val="numeracjaIrzadzwykly"/>
        <w:rPr>
          <w:rFonts w:eastAsia="Lora"/>
          <w:sz w:val="20"/>
        </w:rPr>
      </w:pPr>
      <w:r w:rsidRPr="00EC5E41">
        <w:rPr>
          <w:rFonts w:eastAsia="Lora"/>
          <w:sz w:val="20"/>
        </w:rPr>
        <w:lastRenderedPageBreak/>
        <w:t>„Strony Pochodne” – wszelkie inne strony internetowe, podstrony, serwisy i moduły zbudowane na podstawie, w oparciu o lub z wykorzystaniem architektury, struktur treści, komponentów, szablonów, oprogramowania lub infrastruktury strony głównej Polskiej Akademii Nauk.</w:t>
      </w:r>
    </w:p>
    <w:p w14:paraId="58D6FCA3" w14:textId="77777777" w:rsidR="004B2291" w:rsidRPr="00EC5E41" w:rsidRDefault="004B2291" w:rsidP="00EC5E41">
      <w:pPr>
        <w:pStyle w:val="numeracjaIrzadzwykly"/>
        <w:rPr>
          <w:rFonts w:eastAsia="Lora"/>
          <w:sz w:val="20"/>
        </w:rPr>
      </w:pPr>
      <w:r w:rsidRPr="00EC5E41">
        <w:rPr>
          <w:rFonts w:eastAsia="Lora"/>
          <w:sz w:val="20"/>
        </w:rPr>
        <w:t>„System” – skonfigurowany na potrzeby Zamawiającego System Informatyczny, zainstalowany w Infrastrukturze Zamawiającego, składający się z Oprogramowania, w tym wymagań funkcjonalnych i ogólnych.</w:t>
      </w:r>
    </w:p>
    <w:p w14:paraId="4AA6D108" w14:textId="77777777" w:rsidR="004B2291" w:rsidRPr="00EC5E41" w:rsidRDefault="004B2291" w:rsidP="00EC5E41">
      <w:pPr>
        <w:pStyle w:val="numeracjaIrzadzwykly"/>
        <w:rPr>
          <w:rFonts w:eastAsia="Lora"/>
          <w:sz w:val="20"/>
        </w:rPr>
      </w:pPr>
      <w:r w:rsidRPr="00EC5E41">
        <w:rPr>
          <w:rFonts w:eastAsia="Lora"/>
          <w:sz w:val="20"/>
        </w:rPr>
        <w:t xml:space="preserve">„System Obsługi Zgłoszeń Serwisowych” – system udostępniony Zamawiającemu przez Wykonawcę na potrzeby zgłaszania Nieprawidłowości w okresie świadczenia Serwisu Utrzymaniowego. </w:t>
      </w:r>
    </w:p>
    <w:p w14:paraId="7CADF53F" w14:textId="77777777" w:rsidR="004B2291" w:rsidRPr="00EC5E41" w:rsidRDefault="004B2291" w:rsidP="00EC5E41">
      <w:pPr>
        <w:pStyle w:val="numeracjaIrzadzwykly"/>
        <w:rPr>
          <w:rFonts w:eastAsia="Lora"/>
          <w:sz w:val="20"/>
        </w:rPr>
      </w:pPr>
      <w:r w:rsidRPr="00EC5E41">
        <w:rPr>
          <w:rFonts w:eastAsia="Lora"/>
          <w:sz w:val="20"/>
        </w:rPr>
        <w:t xml:space="preserve">„Usługi Rozwoju” – usługi świadczone przez Wykonawcę określone w § 2 Umowy mające na celu zapewnienie aktualizacji, modyfikacji i rozbudowy Systemu. </w:t>
      </w:r>
    </w:p>
    <w:p w14:paraId="38A66DD2" w14:textId="77777777" w:rsidR="004B2291" w:rsidRPr="00EC5E41" w:rsidRDefault="004B2291" w:rsidP="00EC5E41">
      <w:pPr>
        <w:pStyle w:val="numeracjaIrzadzwykly"/>
        <w:rPr>
          <w:rFonts w:eastAsia="Lora"/>
          <w:sz w:val="20"/>
        </w:rPr>
      </w:pPr>
      <w:r w:rsidRPr="00EC5E41">
        <w:rPr>
          <w:rFonts w:eastAsia="Lora"/>
          <w:sz w:val="20"/>
        </w:rPr>
        <w:t xml:space="preserve">„Usterka” – problem o charakterze ergonomicznym niemający wpływu na wynik pracy Użytkownika, w tym spowodowany działaniem użytkownika. </w:t>
      </w:r>
    </w:p>
    <w:p w14:paraId="63CFD58C" w14:textId="77777777" w:rsidR="004B2291" w:rsidRPr="00EC5E41" w:rsidRDefault="004B2291" w:rsidP="00EC5E41">
      <w:pPr>
        <w:pStyle w:val="numeracjaIrzadzwykly"/>
        <w:rPr>
          <w:rFonts w:eastAsia="Lora"/>
          <w:sz w:val="20"/>
        </w:rPr>
      </w:pPr>
      <w:r w:rsidRPr="00EC5E41">
        <w:rPr>
          <w:rFonts w:eastAsia="Lora"/>
          <w:sz w:val="20"/>
        </w:rPr>
        <w:t xml:space="preserve">„Utwór” – utwór w rozumieniu ustawy z dnia 4 lutego 1994 r. o prawie autorskim i prawach pokrewnych (Dz. U. z 2025 r., poz. 24 z </w:t>
      </w:r>
      <w:proofErr w:type="spellStart"/>
      <w:r w:rsidRPr="00EC5E41">
        <w:rPr>
          <w:rFonts w:eastAsia="Lora"/>
          <w:sz w:val="20"/>
        </w:rPr>
        <w:t>późn</w:t>
      </w:r>
      <w:proofErr w:type="spellEnd"/>
      <w:r w:rsidRPr="00EC5E41">
        <w:rPr>
          <w:rFonts w:eastAsia="Lora"/>
          <w:sz w:val="20"/>
        </w:rPr>
        <w:t xml:space="preserve">. zm.), powstały w wyniku wykonywania lub w związku z wykonywaniem Przedmiotu Umowy. </w:t>
      </w:r>
    </w:p>
    <w:p w14:paraId="374047E8" w14:textId="77777777" w:rsidR="004B2291" w:rsidRPr="004B2291" w:rsidRDefault="004B2291" w:rsidP="00EC5E41">
      <w:pPr>
        <w:pStyle w:val="numeracjaIrzadzwykly"/>
        <w:rPr>
          <w:rFonts w:eastAsia="Lora"/>
        </w:rPr>
      </w:pPr>
      <w:r w:rsidRPr="00EC5E41">
        <w:rPr>
          <w:rFonts w:eastAsia="Lora"/>
          <w:sz w:val="20"/>
        </w:rPr>
        <w:t>„Użytkownik” – osoba korzystająca z Systemu.</w:t>
      </w:r>
      <w:r w:rsidRPr="004B2291">
        <w:rPr>
          <w:rFonts w:eastAsia="Lora"/>
        </w:rPr>
        <w:t xml:space="preserve"> </w:t>
      </w:r>
    </w:p>
    <w:p w14:paraId="1C166434" w14:textId="69ECFA0B" w:rsidR="004A3C05" w:rsidRPr="00EC5E41" w:rsidRDefault="004A3C05" w:rsidP="004A3C05">
      <w:pPr>
        <w:pStyle w:val="txt"/>
        <w:rPr>
          <w:rFonts w:eastAsia="Lora"/>
          <w:b/>
          <w:bCs w:val="0"/>
        </w:rPr>
      </w:pPr>
      <w:r w:rsidRPr="00EC5E41">
        <w:rPr>
          <w:rFonts w:eastAsia="Lora"/>
          <w:b/>
          <w:bCs w:val="0"/>
        </w:rPr>
        <w:t>Przedmiotem zamówienia jest:</w:t>
      </w:r>
    </w:p>
    <w:p w14:paraId="220EE83F" w14:textId="4513E2E0" w:rsidR="004A3C05" w:rsidRPr="005B2E87" w:rsidRDefault="004A3C05" w:rsidP="004A3C05">
      <w:pPr>
        <w:pStyle w:val="numeracjaIrzad"/>
        <w:numPr>
          <w:ilvl w:val="0"/>
          <w:numId w:val="4"/>
        </w:numPr>
        <w:rPr>
          <w:rFonts w:eastAsia="Lora"/>
          <w:b w:val="0"/>
          <w:bCs w:val="0"/>
          <w:szCs w:val="22"/>
        </w:rPr>
      </w:pPr>
      <w:r w:rsidRPr="005B2E87">
        <w:rPr>
          <w:rFonts w:eastAsia="Lora"/>
          <w:b w:val="0"/>
          <w:bCs w:val="0"/>
          <w:szCs w:val="22"/>
        </w:rPr>
        <w:t>świadczenie Serwisu Utrzymaniowego dla Systemu przez Wykonawcę na rzecz Zamawiającego oraz</w:t>
      </w:r>
    </w:p>
    <w:p w14:paraId="30F08C0F" w14:textId="53172C62" w:rsidR="004A3C05" w:rsidRPr="005B2E87" w:rsidRDefault="004A3C05" w:rsidP="004A3C05">
      <w:pPr>
        <w:pStyle w:val="numeracjaIrzad"/>
        <w:rPr>
          <w:rFonts w:eastAsia="Lora"/>
          <w:b w:val="0"/>
          <w:bCs w:val="0"/>
        </w:rPr>
      </w:pPr>
      <w:r w:rsidRPr="005B2E87">
        <w:rPr>
          <w:rFonts w:eastAsia="Lora"/>
          <w:b w:val="0"/>
          <w:bCs w:val="0"/>
        </w:rPr>
        <w:t xml:space="preserve">świadczenie Usług Rozwoju dla Systemu przez Wykonawcę na rzecz Zamawiającego. </w:t>
      </w:r>
    </w:p>
    <w:p w14:paraId="1739E6C1" w14:textId="77777777" w:rsidR="004A3C05" w:rsidRPr="00BB4152" w:rsidRDefault="004A3C05" w:rsidP="004A3C05">
      <w:pPr>
        <w:pStyle w:val="txt"/>
        <w:spacing w:before="240"/>
        <w:rPr>
          <w:rFonts w:eastAsia="Lora"/>
          <w:b/>
          <w:bCs w:val="0"/>
        </w:rPr>
      </w:pPr>
      <w:r w:rsidRPr="00BB4152">
        <w:rPr>
          <w:rFonts w:eastAsia="Lora"/>
          <w:b/>
          <w:bCs w:val="0"/>
        </w:rPr>
        <w:t>Świadczenie Serwisu Utrzymaniowego</w:t>
      </w:r>
    </w:p>
    <w:p w14:paraId="455787F1" w14:textId="46B9E843" w:rsidR="004B2291" w:rsidRDefault="004B2291" w:rsidP="004A3C05">
      <w:pPr>
        <w:pStyle w:val="numeracjaIrzad"/>
        <w:numPr>
          <w:ilvl w:val="0"/>
          <w:numId w:val="6"/>
        </w:numPr>
        <w:rPr>
          <w:rFonts w:eastAsia="Lora"/>
          <w:b w:val="0"/>
          <w:bCs w:val="0"/>
        </w:rPr>
      </w:pPr>
      <w:r w:rsidRPr="004B2291">
        <w:rPr>
          <w:rFonts w:eastAsia="Lora"/>
          <w:b w:val="0"/>
          <w:bCs w:val="0"/>
        </w:rPr>
        <w:t xml:space="preserve">Wszelkie zmiany, aktualizacje, ulepszenia, modyfikacje lub rozwój wykonany na stronie głównej PAN muszą zostać wprowadzone w sposób analogiczny na wszystkich </w:t>
      </w:r>
      <w:r>
        <w:rPr>
          <w:rFonts w:eastAsia="Lora"/>
          <w:b w:val="0"/>
          <w:bCs w:val="0"/>
        </w:rPr>
        <w:t>S</w:t>
      </w:r>
      <w:r w:rsidRPr="004B2291">
        <w:rPr>
          <w:rFonts w:eastAsia="Lora"/>
          <w:b w:val="0"/>
          <w:bCs w:val="0"/>
        </w:rPr>
        <w:t xml:space="preserve">tronach </w:t>
      </w:r>
      <w:r>
        <w:rPr>
          <w:rFonts w:eastAsia="Lora"/>
          <w:b w:val="0"/>
          <w:bCs w:val="0"/>
        </w:rPr>
        <w:t>P</w:t>
      </w:r>
      <w:r w:rsidRPr="004B2291">
        <w:rPr>
          <w:rFonts w:eastAsia="Lora"/>
          <w:b w:val="0"/>
          <w:bCs w:val="0"/>
        </w:rPr>
        <w:t xml:space="preserve">ochodnych. Wykonawca zapewnia, iż każda zmiana dokonywana na stronie głównej będzie odzwierciedlona na </w:t>
      </w:r>
      <w:r>
        <w:rPr>
          <w:rFonts w:eastAsia="Lora"/>
          <w:b w:val="0"/>
          <w:bCs w:val="0"/>
        </w:rPr>
        <w:t>s</w:t>
      </w:r>
      <w:r w:rsidRPr="004B2291">
        <w:rPr>
          <w:rFonts w:eastAsia="Lora"/>
          <w:b w:val="0"/>
          <w:bCs w:val="0"/>
        </w:rPr>
        <w:t xml:space="preserve">tronach </w:t>
      </w:r>
      <w:r>
        <w:rPr>
          <w:rFonts w:eastAsia="Lora"/>
          <w:b w:val="0"/>
          <w:bCs w:val="0"/>
        </w:rPr>
        <w:t>p</w:t>
      </w:r>
      <w:r w:rsidRPr="004B2291">
        <w:rPr>
          <w:rFonts w:eastAsia="Lora"/>
          <w:b w:val="0"/>
          <w:bCs w:val="0"/>
        </w:rPr>
        <w:t>ochodnych w sposób zapewniający ich pełną zgodność i spójność.</w:t>
      </w:r>
    </w:p>
    <w:p w14:paraId="235642A5" w14:textId="11BAC656" w:rsidR="004A3C05" w:rsidRPr="00301660" w:rsidRDefault="004A3C05" w:rsidP="004A3C05">
      <w:pPr>
        <w:pStyle w:val="numeracjaIrzad"/>
        <w:numPr>
          <w:ilvl w:val="0"/>
          <w:numId w:val="6"/>
        </w:numPr>
        <w:rPr>
          <w:rFonts w:eastAsia="Lora"/>
          <w:b w:val="0"/>
          <w:bCs w:val="0"/>
        </w:rPr>
      </w:pPr>
      <w:r w:rsidRPr="00301660">
        <w:rPr>
          <w:rFonts w:eastAsia="Lora"/>
          <w:b w:val="0"/>
          <w:bCs w:val="0"/>
        </w:rPr>
        <w:t xml:space="preserve">Serwis Utrzymaniowy obejmuje w szczególności: </w:t>
      </w:r>
    </w:p>
    <w:p w14:paraId="3F478730" w14:textId="77777777" w:rsidR="004A3C05" w:rsidRPr="00BB4152" w:rsidRDefault="004A3C05" w:rsidP="004A3C05">
      <w:pPr>
        <w:pStyle w:val="numeracjaIIrzad"/>
        <w:numPr>
          <w:ilvl w:val="0"/>
          <w:numId w:val="5"/>
        </w:numPr>
        <w:ind w:left="714" w:hanging="357"/>
      </w:pPr>
      <w:r w:rsidRPr="00BB4152">
        <w:t xml:space="preserve">zapewnienie ciągłego, poprawnego, zgodnego z Dokumentacją Powykonawczą oraz Dokumentacją Administratora działania Systemu, </w:t>
      </w:r>
    </w:p>
    <w:p w14:paraId="361A0EB6" w14:textId="77777777" w:rsidR="004A3C05" w:rsidRPr="00BB4152" w:rsidRDefault="004A3C05" w:rsidP="004A3C05">
      <w:pPr>
        <w:pStyle w:val="numeracjaIIrzad"/>
        <w:ind w:left="714" w:hanging="357"/>
      </w:pPr>
      <w:r w:rsidRPr="00BB4152">
        <w:t xml:space="preserve">przyjmowanie, rejestrowanie oraz usuwanie wszelkich Nieprawidłowości zgodnie z parametrami SLA określonymi w ust. 3 niniejszego paragrafu, </w:t>
      </w:r>
    </w:p>
    <w:p w14:paraId="20B32087" w14:textId="77777777" w:rsidR="004A3C05" w:rsidRPr="00BB4152" w:rsidRDefault="004A3C05" w:rsidP="004A3C05">
      <w:pPr>
        <w:pStyle w:val="numeracjaIIrzad"/>
        <w:ind w:left="714" w:hanging="357"/>
      </w:pPr>
      <w:r w:rsidRPr="00BB4152">
        <w:t xml:space="preserve">prawo do nowej wersji Systemu rozumiane jako zapewnienie dostępu do aktualizacji Systemu, </w:t>
      </w:r>
    </w:p>
    <w:p w14:paraId="12F3AEAB" w14:textId="77777777" w:rsidR="004A3C05" w:rsidRPr="00BB4152" w:rsidRDefault="004A3C05" w:rsidP="004A3C05">
      <w:pPr>
        <w:pStyle w:val="numeracjaIIrzad"/>
        <w:ind w:left="714" w:hanging="357"/>
      </w:pPr>
      <w:r w:rsidRPr="00BB4152">
        <w:t xml:space="preserve">zarządzanie wszelkimi zmianami Oprogramowania, w tym wsparcie w zakresie zmian ustawień konfiguracyjnych lub </w:t>
      </w:r>
      <w:proofErr w:type="spellStart"/>
      <w:r w:rsidRPr="00BB4152">
        <w:t>upgrade’ów</w:t>
      </w:r>
      <w:proofErr w:type="spellEnd"/>
      <w:r w:rsidRPr="00BB4152">
        <w:t xml:space="preserve"> Oprogramowania,  </w:t>
      </w:r>
    </w:p>
    <w:p w14:paraId="29807E82" w14:textId="77777777" w:rsidR="004A3C05" w:rsidRPr="00BB4152" w:rsidRDefault="004A3C05" w:rsidP="004A3C05">
      <w:pPr>
        <w:pStyle w:val="numeracjaIIrzad"/>
        <w:ind w:left="714" w:hanging="357"/>
      </w:pPr>
      <w:r w:rsidRPr="00BB4152">
        <w:t xml:space="preserve">pomoc w diagnostyce Nieprawidłowości związanych z działaniem Systemu, </w:t>
      </w:r>
    </w:p>
    <w:p w14:paraId="41821765" w14:textId="77777777" w:rsidR="004A3C05" w:rsidRPr="00BB4152" w:rsidRDefault="004A3C05" w:rsidP="004A3C05">
      <w:pPr>
        <w:pStyle w:val="numeracjaIIrzad"/>
        <w:ind w:left="714" w:hanging="357"/>
      </w:pPr>
      <w:r w:rsidRPr="00BB4152">
        <w:t xml:space="preserve">prowadzenie zdalnego Serwisu Utrzymaniowego umożliwiającego wykonywanie za pośrednictwem Internetu napraw Nieprawidłowości w działaniu Systemu bezpośrednio po ustaleniu ich przyczyny, </w:t>
      </w:r>
    </w:p>
    <w:p w14:paraId="36C8532F" w14:textId="77777777" w:rsidR="004A3C05" w:rsidRPr="00BB4152" w:rsidRDefault="004A3C05" w:rsidP="004A3C05">
      <w:pPr>
        <w:pStyle w:val="numeracjaIIrzad"/>
        <w:ind w:left="714" w:hanging="357"/>
      </w:pPr>
      <w:r w:rsidRPr="00BB4152">
        <w:t xml:space="preserve">umożliwienie zabezpieczenia Systemu w przypadku awarii Infrastruktury Zamawiającego lub Oprogramowania, </w:t>
      </w:r>
    </w:p>
    <w:p w14:paraId="3E2C1594" w14:textId="77777777" w:rsidR="004A3C05" w:rsidRPr="00BB4152" w:rsidRDefault="004A3C05" w:rsidP="004A3C05">
      <w:pPr>
        <w:pStyle w:val="numeracjaIIrzad"/>
        <w:ind w:left="714" w:hanging="357"/>
      </w:pPr>
      <w:r w:rsidRPr="00BB4152">
        <w:t xml:space="preserve">aktualizację Dokumentacji. </w:t>
      </w:r>
    </w:p>
    <w:p w14:paraId="3C44B0FF" w14:textId="77777777" w:rsidR="004A3C05" w:rsidRPr="00301660" w:rsidRDefault="004A3C05" w:rsidP="004A3C05">
      <w:pPr>
        <w:pStyle w:val="numeracjaIrzadzwykly"/>
        <w:rPr>
          <w:rFonts w:eastAsia="Lora"/>
        </w:rPr>
      </w:pPr>
      <w:r w:rsidRPr="00301660">
        <w:rPr>
          <w:rFonts w:eastAsia="Lora"/>
        </w:rPr>
        <w:t xml:space="preserve">Strony ustalają następujące parametry SLA: </w:t>
      </w:r>
    </w:p>
    <w:tbl>
      <w:tblPr>
        <w:tblStyle w:val="Tabela-Siatka"/>
        <w:tblW w:w="0" w:type="auto"/>
        <w:tblInd w:w="34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83"/>
        <w:gridCol w:w="1670"/>
        <w:gridCol w:w="2580"/>
        <w:gridCol w:w="1914"/>
        <w:gridCol w:w="1962"/>
      </w:tblGrid>
      <w:tr w:rsidR="004A3C05" w:rsidRPr="00B37CF1" w14:paraId="4D2080AE" w14:textId="77777777" w:rsidTr="003A5815">
        <w:trPr>
          <w:trHeight w:val="285"/>
        </w:trPr>
        <w:tc>
          <w:tcPr>
            <w:tcW w:w="583" w:type="dxa"/>
            <w:tcMar>
              <w:left w:w="105" w:type="dxa"/>
              <w:right w:w="105" w:type="dxa"/>
            </w:tcMar>
            <w:vAlign w:val="center"/>
          </w:tcPr>
          <w:p w14:paraId="3247057F" w14:textId="77777777" w:rsidR="004A3C05" w:rsidRPr="00B37CF1" w:rsidRDefault="004A3C05" w:rsidP="003A5815">
            <w:pPr>
              <w:spacing w:after="60" w:line="288" w:lineRule="auto"/>
              <w:ind w:hanging="709"/>
              <w:jc w:val="center"/>
              <w:rPr>
                <w:rFonts w:ascii="Arial" w:eastAsia="Lora" w:hAnsi="Arial" w:cs="Arial"/>
                <w:color w:val="000000" w:themeColor="text1"/>
                <w:sz w:val="22"/>
                <w:szCs w:val="22"/>
              </w:rPr>
            </w:pPr>
            <w:r w:rsidRPr="00B37CF1">
              <w:rPr>
                <w:rFonts w:ascii="Arial" w:eastAsia="Lora" w:hAnsi="Arial" w:cs="Arial"/>
                <w:b/>
                <w:bCs/>
                <w:color w:val="000000" w:themeColor="text1"/>
                <w:sz w:val="22"/>
                <w:szCs w:val="22"/>
              </w:rPr>
              <w:t>Lp.</w:t>
            </w:r>
          </w:p>
        </w:tc>
        <w:tc>
          <w:tcPr>
            <w:tcW w:w="1670" w:type="dxa"/>
          </w:tcPr>
          <w:p w14:paraId="69AAB153" w14:textId="77777777" w:rsidR="004A3C05" w:rsidRPr="00B37CF1" w:rsidRDefault="004A3C05" w:rsidP="003A5815">
            <w:pPr>
              <w:spacing w:after="60" w:line="288" w:lineRule="auto"/>
              <w:ind w:left="54" w:hanging="10"/>
              <w:jc w:val="center"/>
              <w:rPr>
                <w:rFonts w:ascii="Arial" w:eastAsia="Lora" w:hAnsi="Arial" w:cs="Arial"/>
                <w:b/>
                <w:bCs/>
                <w:color w:val="00000A"/>
                <w:sz w:val="22"/>
                <w:szCs w:val="22"/>
              </w:rPr>
            </w:pPr>
          </w:p>
        </w:tc>
        <w:tc>
          <w:tcPr>
            <w:tcW w:w="2580" w:type="dxa"/>
            <w:tcMar>
              <w:left w:w="105" w:type="dxa"/>
              <w:right w:w="105" w:type="dxa"/>
            </w:tcMar>
            <w:vAlign w:val="center"/>
          </w:tcPr>
          <w:p w14:paraId="5461B556" w14:textId="77777777" w:rsidR="004A3C05" w:rsidRPr="00B37CF1" w:rsidRDefault="004A3C05" w:rsidP="003A5815">
            <w:pPr>
              <w:spacing w:after="60" w:line="288" w:lineRule="auto"/>
              <w:ind w:left="54" w:hanging="10"/>
              <w:jc w:val="center"/>
              <w:rPr>
                <w:rFonts w:ascii="Arial" w:eastAsia="Lora" w:hAnsi="Arial" w:cs="Arial"/>
                <w:color w:val="00000A"/>
                <w:sz w:val="22"/>
                <w:szCs w:val="22"/>
              </w:rPr>
            </w:pPr>
            <w:r w:rsidRPr="00B37CF1">
              <w:rPr>
                <w:rFonts w:ascii="Arial" w:eastAsia="Lora" w:hAnsi="Arial" w:cs="Arial"/>
                <w:b/>
                <w:bCs/>
                <w:color w:val="00000A"/>
                <w:sz w:val="22"/>
                <w:szCs w:val="22"/>
              </w:rPr>
              <w:t xml:space="preserve">Rodzaj </w:t>
            </w:r>
            <w:r w:rsidRPr="00B37CF1">
              <w:rPr>
                <w:rFonts w:ascii="Arial" w:eastAsia="Lora" w:hAnsi="Arial" w:cs="Arial"/>
                <w:b/>
                <w:bCs/>
                <w:color w:val="00000A"/>
                <w:sz w:val="22"/>
                <w:szCs w:val="22"/>
              </w:rPr>
              <w:lastRenderedPageBreak/>
              <w:t>nieprawidłowości</w:t>
            </w:r>
          </w:p>
        </w:tc>
        <w:tc>
          <w:tcPr>
            <w:tcW w:w="1914" w:type="dxa"/>
            <w:tcMar>
              <w:left w:w="105" w:type="dxa"/>
              <w:right w:w="105" w:type="dxa"/>
            </w:tcMar>
            <w:vAlign w:val="center"/>
          </w:tcPr>
          <w:p w14:paraId="43768B92"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r w:rsidRPr="00B37CF1">
              <w:rPr>
                <w:rFonts w:ascii="Arial" w:eastAsia="Lora" w:hAnsi="Arial" w:cs="Arial"/>
                <w:b/>
                <w:bCs/>
                <w:color w:val="00000A"/>
                <w:sz w:val="22"/>
                <w:szCs w:val="22"/>
              </w:rPr>
              <w:lastRenderedPageBreak/>
              <w:t>Czas Reakcji</w:t>
            </w:r>
          </w:p>
        </w:tc>
        <w:tc>
          <w:tcPr>
            <w:tcW w:w="1962" w:type="dxa"/>
            <w:tcMar>
              <w:left w:w="105" w:type="dxa"/>
              <w:right w:w="105" w:type="dxa"/>
            </w:tcMar>
            <w:vAlign w:val="center"/>
          </w:tcPr>
          <w:p w14:paraId="35D52606"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r w:rsidRPr="00B37CF1">
              <w:rPr>
                <w:rFonts w:ascii="Arial" w:eastAsia="Lora" w:hAnsi="Arial" w:cs="Arial"/>
                <w:b/>
                <w:bCs/>
                <w:color w:val="00000A"/>
                <w:sz w:val="22"/>
                <w:szCs w:val="22"/>
              </w:rPr>
              <w:t>Czas Naprawy</w:t>
            </w:r>
          </w:p>
        </w:tc>
      </w:tr>
      <w:tr w:rsidR="004A3C05" w:rsidRPr="00B37CF1" w14:paraId="5ADCAB71" w14:textId="77777777" w:rsidTr="003A5815">
        <w:trPr>
          <w:trHeight w:val="285"/>
        </w:trPr>
        <w:tc>
          <w:tcPr>
            <w:tcW w:w="583" w:type="dxa"/>
            <w:tcMar>
              <w:left w:w="105" w:type="dxa"/>
              <w:right w:w="105" w:type="dxa"/>
            </w:tcMar>
            <w:vAlign w:val="center"/>
          </w:tcPr>
          <w:p w14:paraId="72F57E81" w14:textId="77777777" w:rsidR="004A3C05" w:rsidRPr="00B37CF1" w:rsidRDefault="004A3C05" w:rsidP="003A5815">
            <w:pPr>
              <w:spacing w:after="60" w:line="288" w:lineRule="auto"/>
              <w:ind w:hanging="709"/>
              <w:jc w:val="center"/>
              <w:rPr>
                <w:rFonts w:ascii="Arial" w:eastAsia="Lora" w:hAnsi="Arial" w:cs="Arial"/>
                <w:color w:val="000000" w:themeColor="text1"/>
                <w:sz w:val="22"/>
                <w:szCs w:val="22"/>
              </w:rPr>
            </w:pPr>
            <w:r w:rsidRPr="00B37CF1">
              <w:rPr>
                <w:rFonts w:ascii="Arial" w:eastAsia="Lora" w:hAnsi="Arial" w:cs="Arial"/>
                <w:color w:val="000000" w:themeColor="text1"/>
                <w:sz w:val="22"/>
                <w:szCs w:val="22"/>
              </w:rPr>
              <w:t>1.</w:t>
            </w:r>
          </w:p>
        </w:tc>
        <w:tc>
          <w:tcPr>
            <w:tcW w:w="1670" w:type="dxa"/>
          </w:tcPr>
          <w:p w14:paraId="4F031F43"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p>
        </w:tc>
        <w:tc>
          <w:tcPr>
            <w:tcW w:w="2580" w:type="dxa"/>
            <w:tcMar>
              <w:left w:w="105" w:type="dxa"/>
              <w:right w:w="105" w:type="dxa"/>
            </w:tcMar>
            <w:vAlign w:val="center"/>
          </w:tcPr>
          <w:p w14:paraId="45D325AE"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r w:rsidRPr="00B37CF1">
              <w:rPr>
                <w:rFonts w:ascii="Arial" w:eastAsia="Lora" w:hAnsi="Arial" w:cs="Arial"/>
                <w:color w:val="00000A"/>
                <w:sz w:val="22"/>
                <w:szCs w:val="22"/>
              </w:rPr>
              <w:t>Awaria Krytyczna</w:t>
            </w:r>
          </w:p>
        </w:tc>
        <w:tc>
          <w:tcPr>
            <w:tcW w:w="1914" w:type="dxa"/>
            <w:tcMar>
              <w:left w:w="105" w:type="dxa"/>
              <w:right w:w="105" w:type="dxa"/>
            </w:tcMar>
            <w:vAlign w:val="center"/>
          </w:tcPr>
          <w:p w14:paraId="505963F8"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r w:rsidRPr="00B37CF1">
              <w:rPr>
                <w:rFonts w:ascii="Arial" w:eastAsia="Lora" w:hAnsi="Arial" w:cs="Arial"/>
                <w:color w:val="00000A"/>
                <w:sz w:val="22"/>
                <w:szCs w:val="22"/>
              </w:rPr>
              <w:t>do 4 Godzin Roboczych</w:t>
            </w:r>
          </w:p>
        </w:tc>
        <w:tc>
          <w:tcPr>
            <w:tcW w:w="1962" w:type="dxa"/>
            <w:tcMar>
              <w:left w:w="105" w:type="dxa"/>
              <w:right w:w="105" w:type="dxa"/>
            </w:tcMar>
            <w:vAlign w:val="center"/>
          </w:tcPr>
          <w:p w14:paraId="105D002E"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r w:rsidRPr="00B37CF1">
              <w:rPr>
                <w:rFonts w:ascii="Arial" w:eastAsia="Lora" w:hAnsi="Arial" w:cs="Arial"/>
                <w:color w:val="00000A"/>
                <w:sz w:val="22"/>
                <w:szCs w:val="22"/>
              </w:rPr>
              <w:t>do 8 Godzin Roboczych</w:t>
            </w:r>
          </w:p>
        </w:tc>
      </w:tr>
      <w:tr w:rsidR="004A3C05" w:rsidRPr="00B37CF1" w14:paraId="27C9CCA1" w14:textId="77777777" w:rsidTr="003A5815">
        <w:trPr>
          <w:trHeight w:val="285"/>
        </w:trPr>
        <w:tc>
          <w:tcPr>
            <w:tcW w:w="583" w:type="dxa"/>
            <w:tcMar>
              <w:left w:w="105" w:type="dxa"/>
              <w:right w:w="105" w:type="dxa"/>
            </w:tcMar>
            <w:vAlign w:val="center"/>
          </w:tcPr>
          <w:p w14:paraId="5EA9F9DF" w14:textId="77777777" w:rsidR="004A3C05" w:rsidRPr="00B37CF1" w:rsidRDefault="004A3C05" w:rsidP="003A5815">
            <w:pPr>
              <w:spacing w:after="60" w:line="288" w:lineRule="auto"/>
              <w:ind w:hanging="709"/>
              <w:jc w:val="center"/>
              <w:rPr>
                <w:rFonts w:ascii="Arial" w:eastAsia="Lora" w:hAnsi="Arial" w:cs="Arial"/>
                <w:color w:val="000000" w:themeColor="text1"/>
                <w:sz w:val="22"/>
                <w:szCs w:val="22"/>
              </w:rPr>
            </w:pPr>
            <w:r w:rsidRPr="00B37CF1">
              <w:rPr>
                <w:rFonts w:ascii="Arial" w:eastAsia="Lora" w:hAnsi="Arial" w:cs="Arial"/>
                <w:color w:val="000000" w:themeColor="text1"/>
                <w:sz w:val="22"/>
                <w:szCs w:val="22"/>
              </w:rPr>
              <w:t>2.</w:t>
            </w:r>
          </w:p>
        </w:tc>
        <w:tc>
          <w:tcPr>
            <w:tcW w:w="1670" w:type="dxa"/>
          </w:tcPr>
          <w:p w14:paraId="39E3C876"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p>
        </w:tc>
        <w:tc>
          <w:tcPr>
            <w:tcW w:w="2580" w:type="dxa"/>
            <w:tcMar>
              <w:left w:w="105" w:type="dxa"/>
              <w:right w:w="105" w:type="dxa"/>
            </w:tcMar>
            <w:vAlign w:val="center"/>
          </w:tcPr>
          <w:p w14:paraId="728E38A5"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r w:rsidRPr="00B37CF1">
              <w:rPr>
                <w:rFonts w:ascii="Arial" w:eastAsia="Lora" w:hAnsi="Arial" w:cs="Arial"/>
                <w:color w:val="00000A"/>
                <w:sz w:val="22"/>
                <w:szCs w:val="22"/>
              </w:rPr>
              <w:t>Błąd</w:t>
            </w:r>
          </w:p>
        </w:tc>
        <w:tc>
          <w:tcPr>
            <w:tcW w:w="1914" w:type="dxa"/>
            <w:tcMar>
              <w:left w:w="105" w:type="dxa"/>
              <w:right w:w="105" w:type="dxa"/>
            </w:tcMar>
            <w:vAlign w:val="center"/>
          </w:tcPr>
          <w:p w14:paraId="552013B7"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r w:rsidRPr="00B37CF1">
              <w:rPr>
                <w:rFonts w:ascii="Arial" w:eastAsia="Lora" w:hAnsi="Arial" w:cs="Arial"/>
                <w:color w:val="00000A"/>
                <w:sz w:val="22"/>
                <w:szCs w:val="22"/>
              </w:rPr>
              <w:t>do 12 Godzin Roboczych</w:t>
            </w:r>
          </w:p>
        </w:tc>
        <w:tc>
          <w:tcPr>
            <w:tcW w:w="1962" w:type="dxa"/>
            <w:tcMar>
              <w:left w:w="105" w:type="dxa"/>
              <w:right w:w="105" w:type="dxa"/>
            </w:tcMar>
            <w:vAlign w:val="center"/>
          </w:tcPr>
          <w:p w14:paraId="4AA14466"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r w:rsidRPr="00B37CF1">
              <w:rPr>
                <w:rFonts w:ascii="Arial" w:eastAsia="Lora" w:hAnsi="Arial" w:cs="Arial"/>
                <w:color w:val="00000A"/>
                <w:sz w:val="22"/>
                <w:szCs w:val="22"/>
              </w:rPr>
              <w:t>do 32 Godzin Roboczych</w:t>
            </w:r>
          </w:p>
        </w:tc>
      </w:tr>
      <w:tr w:rsidR="004A3C05" w:rsidRPr="00B37CF1" w14:paraId="50013F73" w14:textId="77777777" w:rsidTr="003A5815">
        <w:trPr>
          <w:trHeight w:val="285"/>
        </w:trPr>
        <w:tc>
          <w:tcPr>
            <w:tcW w:w="583" w:type="dxa"/>
            <w:tcMar>
              <w:left w:w="105" w:type="dxa"/>
              <w:right w:w="105" w:type="dxa"/>
            </w:tcMar>
            <w:vAlign w:val="center"/>
          </w:tcPr>
          <w:p w14:paraId="03BC1296" w14:textId="77777777" w:rsidR="004A3C05" w:rsidRPr="00B37CF1" w:rsidRDefault="004A3C05" w:rsidP="003A5815">
            <w:pPr>
              <w:spacing w:after="60" w:line="288" w:lineRule="auto"/>
              <w:ind w:hanging="709"/>
              <w:jc w:val="center"/>
              <w:rPr>
                <w:rFonts w:ascii="Arial" w:eastAsia="Lora" w:hAnsi="Arial" w:cs="Arial"/>
                <w:color w:val="000000" w:themeColor="text1"/>
                <w:sz w:val="22"/>
                <w:szCs w:val="22"/>
              </w:rPr>
            </w:pPr>
            <w:r w:rsidRPr="00B37CF1">
              <w:rPr>
                <w:rFonts w:ascii="Arial" w:eastAsia="Lora" w:hAnsi="Arial" w:cs="Arial"/>
                <w:color w:val="000000" w:themeColor="text1"/>
                <w:sz w:val="22"/>
                <w:szCs w:val="22"/>
              </w:rPr>
              <w:t>3.</w:t>
            </w:r>
          </w:p>
        </w:tc>
        <w:tc>
          <w:tcPr>
            <w:tcW w:w="1670" w:type="dxa"/>
          </w:tcPr>
          <w:p w14:paraId="6121ACA7"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p>
        </w:tc>
        <w:tc>
          <w:tcPr>
            <w:tcW w:w="2580" w:type="dxa"/>
            <w:tcMar>
              <w:left w:w="105" w:type="dxa"/>
              <w:right w:w="105" w:type="dxa"/>
            </w:tcMar>
            <w:vAlign w:val="center"/>
          </w:tcPr>
          <w:p w14:paraId="63E96A4B" w14:textId="77777777" w:rsidR="004A3C05" w:rsidRPr="00B37CF1" w:rsidRDefault="004A3C05" w:rsidP="003A5815">
            <w:pPr>
              <w:spacing w:after="60" w:line="288" w:lineRule="auto"/>
              <w:ind w:left="0" w:firstLine="0"/>
              <w:jc w:val="center"/>
              <w:rPr>
                <w:rFonts w:ascii="Arial" w:eastAsia="Lora" w:hAnsi="Arial" w:cs="Arial"/>
                <w:color w:val="00000A"/>
                <w:sz w:val="22"/>
                <w:szCs w:val="22"/>
              </w:rPr>
            </w:pPr>
            <w:r w:rsidRPr="00B37CF1">
              <w:rPr>
                <w:rFonts w:ascii="Arial" w:eastAsia="Lora" w:hAnsi="Arial" w:cs="Arial"/>
                <w:color w:val="00000A"/>
                <w:sz w:val="22"/>
                <w:szCs w:val="22"/>
              </w:rPr>
              <w:t>Usterka</w:t>
            </w:r>
          </w:p>
        </w:tc>
        <w:tc>
          <w:tcPr>
            <w:tcW w:w="1914" w:type="dxa"/>
            <w:tcMar>
              <w:left w:w="105" w:type="dxa"/>
              <w:right w:w="105" w:type="dxa"/>
            </w:tcMar>
            <w:vAlign w:val="center"/>
          </w:tcPr>
          <w:p w14:paraId="0C9FA11B" w14:textId="77777777" w:rsidR="004A3C05" w:rsidRPr="00B37CF1" w:rsidRDefault="004A3C05" w:rsidP="003A5815">
            <w:pPr>
              <w:spacing w:after="60" w:line="288" w:lineRule="auto"/>
              <w:ind w:left="31" w:hanging="10"/>
              <w:jc w:val="center"/>
              <w:rPr>
                <w:rFonts w:ascii="Arial" w:eastAsia="Lora" w:hAnsi="Arial" w:cs="Arial"/>
                <w:color w:val="00000A"/>
                <w:sz w:val="22"/>
                <w:szCs w:val="22"/>
              </w:rPr>
            </w:pPr>
            <w:r w:rsidRPr="00B37CF1">
              <w:rPr>
                <w:rFonts w:ascii="Arial" w:eastAsia="Lora" w:hAnsi="Arial" w:cs="Arial"/>
                <w:color w:val="00000A"/>
                <w:sz w:val="22"/>
                <w:szCs w:val="22"/>
              </w:rPr>
              <w:t>do 12 Godzin Roboczych</w:t>
            </w:r>
          </w:p>
        </w:tc>
        <w:tc>
          <w:tcPr>
            <w:tcW w:w="1962" w:type="dxa"/>
            <w:tcMar>
              <w:left w:w="105" w:type="dxa"/>
              <w:right w:w="105" w:type="dxa"/>
            </w:tcMar>
            <w:vAlign w:val="center"/>
          </w:tcPr>
          <w:p w14:paraId="62F444D3" w14:textId="77777777" w:rsidR="004A3C05" w:rsidRPr="00B37CF1" w:rsidRDefault="004A3C05" w:rsidP="003A5815">
            <w:pPr>
              <w:spacing w:after="60" w:line="288" w:lineRule="auto"/>
              <w:ind w:left="0" w:hanging="20"/>
              <w:jc w:val="center"/>
              <w:rPr>
                <w:rFonts w:ascii="Arial" w:eastAsia="Lora" w:hAnsi="Arial" w:cs="Arial"/>
                <w:color w:val="00000A"/>
                <w:sz w:val="22"/>
                <w:szCs w:val="22"/>
              </w:rPr>
            </w:pPr>
            <w:r w:rsidRPr="00B37CF1">
              <w:rPr>
                <w:rFonts w:ascii="Arial" w:eastAsia="Lora" w:hAnsi="Arial" w:cs="Arial"/>
                <w:color w:val="00000A"/>
                <w:sz w:val="22"/>
                <w:szCs w:val="22"/>
              </w:rPr>
              <w:t>do 72 Godzin Roboczych</w:t>
            </w:r>
          </w:p>
        </w:tc>
      </w:tr>
    </w:tbl>
    <w:p w14:paraId="5AEBEEB9" w14:textId="77777777" w:rsidR="004A3C05" w:rsidRPr="00B37CF1" w:rsidRDefault="004A3C05" w:rsidP="004A3C05">
      <w:pPr>
        <w:pStyle w:val="podcieciepodIrzad"/>
        <w:ind w:left="357"/>
        <w:rPr>
          <w:rFonts w:eastAsia="Lora"/>
        </w:rPr>
      </w:pPr>
      <w:r w:rsidRPr="00B37CF1">
        <w:rPr>
          <w:rFonts w:eastAsia="Lora"/>
        </w:rPr>
        <w:t xml:space="preserve">Zamawiający zobowiązany jest dokonywać Zgłoszeń serwisowych dotyczących Nieprawidłowości w Dni Robocze w godz. 8:00–16:00 w Systemie Obsługi Zgłoszeń Serwisowych. Strony dopuszczają możliwość telefonicznego zgłoszenia Nieprawidłowości. Przyjęcie zgłoszenia telefonicznego wymaga jego potwierdzenia przez Wykonawcę za pośrednictwem dokonania przez niego wpisu do Systemu Obsługi Zgłoszeń. </w:t>
      </w:r>
    </w:p>
    <w:p w14:paraId="28322825" w14:textId="77777777" w:rsidR="004A3C05" w:rsidRDefault="004A3C05" w:rsidP="004A3C05">
      <w:pPr>
        <w:pStyle w:val="numeracjaIrzadzwykly"/>
        <w:rPr>
          <w:rFonts w:eastAsia="Lora"/>
        </w:rPr>
      </w:pPr>
      <w:r w:rsidRPr="4DF880E6">
        <w:rPr>
          <w:rFonts w:eastAsia="Lora"/>
        </w:rPr>
        <w:t xml:space="preserve">Wykonawca zobowiązuje się do świadczenia Serwisu Utrzymaniowego w sposób zapobiegający utracie danych Zamawiającego, w tym także tych, do których będzie miał dostęp w trakcie wykonywania usług. W przypadku gdy wykonanie danej czynności przez Wykonawcę lub przez Zamawiającego w oparciu o rekomendację Wykonawcy wiąże się z ryzykiem utraty danych, Wykonawca zobowiązany jest poinformować o tym Zamawiającego przed przystąpieniem do wykonania takiej czynności lub z chwilą przekazania takiej rekomendacji Zamawiającemu. </w:t>
      </w:r>
    </w:p>
    <w:p w14:paraId="273ACD5D" w14:textId="77777777" w:rsidR="004A3C05" w:rsidRDefault="004A3C05" w:rsidP="004A3C05">
      <w:pPr>
        <w:pStyle w:val="numeracjaIrzadzwykly"/>
        <w:rPr>
          <w:rFonts w:eastAsia="Lora"/>
        </w:rPr>
      </w:pPr>
      <w:r w:rsidRPr="4DF880E6">
        <w:rPr>
          <w:rFonts w:eastAsia="Lora"/>
        </w:rPr>
        <w:t xml:space="preserve">Czas Naprawy uważa się za dochowany z chwilą zgłoszenia dokonania naprawy, jeżeli Nieprawidłowość została faktycznie usunięta. Jeżeli okaże się podczas weryfikacji usunięcia Nieprawidłowości, o której mowa w § 6 ust. 2, że Nieprawidłowość nie została usunięta, Czas Naprawy jest dochowany dopiero z chwilą zgłoszenia poprawki faktycznie usuwającej Nieprawidłowość. </w:t>
      </w:r>
    </w:p>
    <w:p w14:paraId="15E52BEC" w14:textId="77777777" w:rsidR="004A3C05" w:rsidRDefault="004A3C05" w:rsidP="004A3C05">
      <w:pPr>
        <w:pStyle w:val="numeracjaIrzadzwykly"/>
        <w:rPr>
          <w:rFonts w:eastAsia="Lora"/>
        </w:rPr>
      </w:pPr>
      <w:r w:rsidRPr="4DF880E6">
        <w:rPr>
          <w:rFonts w:eastAsia="Lora"/>
        </w:rPr>
        <w:t xml:space="preserve">Jeżeli Wykonawca w Czasie Naprawy dostarczy Obejście, Czas Naprawy wydłuża się dwukrotnie. </w:t>
      </w:r>
    </w:p>
    <w:p w14:paraId="13D2CCFC" w14:textId="77777777" w:rsidR="004A3C05" w:rsidRDefault="004A3C05" w:rsidP="004A3C05">
      <w:pPr>
        <w:pStyle w:val="numeracjaIrzadzwykly"/>
        <w:rPr>
          <w:rFonts w:eastAsia="Lora"/>
        </w:rPr>
      </w:pPr>
      <w:r w:rsidRPr="4DF880E6">
        <w:rPr>
          <w:rFonts w:eastAsia="Lora"/>
        </w:rPr>
        <w:t>Jeżeli Wykonawca stwierdzi, iż przyczyna Nieprawidłowości leży poza Oprogramowaniem, w szczególności w Infrastrukturze Zamawiającego, Wykonawca nie jest zobowiązany do usunięcia Nieprawidłowości, lecz powinien:</w:t>
      </w:r>
    </w:p>
    <w:p w14:paraId="190EA7A1" w14:textId="77777777" w:rsidR="004A3C05" w:rsidRDefault="004A3C05" w:rsidP="004A3C05">
      <w:pPr>
        <w:pStyle w:val="numeracjaIIrzadliczby"/>
        <w:numPr>
          <w:ilvl w:val="0"/>
          <w:numId w:val="7"/>
        </w:numPr>
        <w:ind w:left="714" w:hanging="357"/>
      </w:pPr>
      <w:r w:rsidRPr="4DF880E6">
        <w:t xml:space="preserve">wskazać przyczynę nieprawidłowego działania Systemu poprzez wskazanie elementu, który ją powoduje, a jeżeli to możliwe także podmiotu odpowiedzialnego za usunięcie takiej nieprawidłowości działania Systemu; </w:t>
      </w:r>
    </w:p>
    <w:p w14:paraId="62419B49" w14:textId="77777777" w:rsidR="004A3C05" w:rsidRDefault="004A3C05" w:rsidP="004A3C05">
      <w:pPr>
        <w:pStyle w:val="numeracjaIIrzadliczby"/>
        <w:ind w:left="714" w:hanging="357"/>
      </w:pPr>
      <w:r w:rsidRPr="4DF880E6">
        <w:t xml:space="preserve">w razie zgłoszenia takiej potrzeby przez Zamawiającego do wsparcia osoby trzeciej usuwającej przyczynę zgłoszenia, w tym udzielenia takiej osobie wszelkich informacji o Oprogramowaniu, potrzebnych do przywrócenia jego pełnej funkcjonalności. </w:t>
      </w:r>
    </w:p>
    <w:p w14:paraId="09EF2A85" w14:textId="77777777" w:rsidR="004A3C05" w:rsidRDefault="004A3C05" w:rsidP="004A3C05">
      <w:pPr>
        <w:pStyle w:val="numeracjaIrzadzwykly"/>
        <w:rPr>
          <w:rFonts w:eastAsia="Lora"/>
        </w:rPr>
      </w:pPr>
      <w:r w:rsidRPr="4DF880E6">
        <w:rPr>
          <w:rFonts w:eastAsia="Lora"/>
        </w:rPr>
        <w:t xml:space="preserve">Powyższe nie ma zastosowania w przypadku, gdy przyczyna Nieprawidłowości leży poza Oprogramowaniem, ale Wykonawca ponosi odpowiedzialność za jej wystąpienie, w szczególności w przypadku, gdy przyczyna Nieprawidłowości leży w Infrastrukturze Zamawiającego, ale jest skutkiem nieprawidłowej konfiguracji lub parametryzacji Infrastruktury Zamawiającego przez Wykonawcę. W takim wypadku Wykonawca zobowiązany jest do dotrzymania Czasu Naprawy i innych zobowiązań wynikających z SLA. </w:t>
      </w:r>
    </w:p>
    <w:p w14:paraId="373EF27B" w14:textId="77777777" w:rsidR="004A3C05" w:rsidRDefault="004A3C05" w:rsidP="004A3C05">
      <w:pPr>
        <w:pStyle w:val="numeracjaIrzadzwykly"/>
        <w:rPr>
          <w:rFonts w:eastAsia="Lora"/>
        </w:rPr>
      </w:pPr>
      <w:r w:rsidRPr="4DF880E6">
        <w:rPr>
          <w:rFonts w:eastAsia="Lora"/>
        </w:rPr>
        <w:t xml:space="preserve">Wykonawca zobowiązuje się w całym okresie Serwisu Utrzymaniowego usuwać Nieprawidłowości w funkcjonowaniu Systemu lub dostarczonego Oprogramowania na własny koszt i ryzyko. Zamawiający może dochodzić roszczeń z tytułu gwarancji także po upływie Serwisu Utrzymaniowego, jeżeli zgłosił Nieprawidłowość przed upływem tego okresu. </w:t>
      </w:r>
    </w:p>
    <w:p w14:paraId="3DAEF1DF" w14:textId="77777777" w:rsidR="004B2291" w:rsidRPr="004B2291" w:rsidRDefault="004B2291" w:rsidP="004B2291">
      <w:pPr>
        <w:pStyle w:val="numeracjaIrzadzwykly"/>
        <w:rPr>
          <w:rFonts w:eastAsia="Lora"/>
        </w:rPr>
      </w:pPr>
      <w:r w:rsidRPr="004B2291">
        <w:rPr>
          <w:rFonts w:eastAsia="Lora"/>
        </w:rPr>
        <w:lastRenderedPageBreak/>
        <w:t>W przypadku stwierdzenia błędu, usterki lub niezgodności na stronie głównej, Wykonawca usuwa je również na wszystkich Stronach Pochodnych. W przypadku aktualizacji wykonanej na stronie głównej, Wykonawca wdraża jej odpowiedniki na Stronach Pochodnych w tym samym czasie i w tym samym zakresie funkcjonalnym.</w:t>
      </w:r>
    </w:p>
    <w:p w14:paraId="04E91B13" w14:textId="77777777" w:rsidR="004A3C05" w:rsidRDefault="004A3C05" w:rsidP="004A3C05">
      <w:pPr>
        <w:pStyle w:val="numeracjaIrzadzwykly"/>
        <w:rPr>
          <w:rFonts w:eastAsia="Lora"/>
        </w:rPr>
      </w:pPr>
      <w:r w:rsidRPr="4DF880E6">
        <w:rPr>
          <w:rFonts w:eastAsia="Lora"/>
        </w:rPr>
        <w:t xml:space="preserve">Każdy miesiąc świadczenia Serwisu Utrzymaniowego będzie potwierdzany odpowiednim raportem. Raport zawierający wykaz zgłoszonych Nieprawidłowości wraz z opisem dotrzymania lub opóźnienia w SLA oraz opis przekazanych aktualizacji zostanie przygotowany przez Wykonawcę w terminie 5 Dni Roboczych po zakończeniu danego miesiąca. </w:t>
      </w:r>
    </w:p>
    <w:p w14:paraId="7DC058D4" w14:textId="77777777" w:rsidR="004A3C05" w:rsidRPr="00727E08" w:rsidRDefault="004A3C05" w:rsidP="004A3C05">
      <w:pPr>
        <w:pStyle w:val="txt"/>
        <w:spacing w:before="240"/>
        <w:rPr>
          <w:rFonts w:eastAsia="Lora"/>
          <w:b/>
          <w:bCs w:val="0"/>
        </w:rPr>
      </w:pPr>
      <w:r w:rsidRPr="00727E08">
        <w:rPr>
          <w:rFonts w:eastAsia="Lora"/>
          <w:b/>
          <w:bCs w:val="0"/>
        </w:rPr>
        <w:t xml:space="preserve">Zasady świadczenia Usług Rozwoju </w:t>
      </w:r>
    </w:p>
    <w:p w14:paraId="571CAE4E" w14:textId="77777777" w:rsidR="004A3C05" w:rsidRPr="00EC5E41" w:rsidRDefault="004A3C05" w:rsidP="004A3C05">
      <w:pPr>
        <w:pStyle w:val="numeracjaIrzad"/>
        <w:numPr>
          <w:ilvl w:val="0"/>
          <w:numId w:val="8"/>
        </w:numPr>
        <w:rPr>
          <w:rFonts w:eastAsia="Lora"/>
          <w:b w:val="0"/>
          <w:bCs w:val="0"/>
        </w:rPr>
      </w:pPr>
      <w:r w:rsidRPr="00A955C7">
        <w:rPr>
          <w:rFonts w:eastAsia="Lora"/>
        </w:rPr>
        <w:t xml:space="preserve">Usługi Rozwoju </w:t>
      </w:r>
      <w:r w:rsidRPr="00A955C7">
        <w:rPr>
          <w:rFonts w:eastAsia="Lora"/>
          <w:b w:val="0"/>
          <w:bCs w:val="0"/>
        </w:rPr>
        <w:t xml:space="preserve">obejmują usługi, które zostaną zdefiniowane i zgłoszone Wykonawcy przez Zamawiającego w okresie </w:t>
      </w:r>
      <w:r w:rsidRPr="00EC5E41">
        <w:rPr>
          <w:rFonts w:eastAsia="Lora"/>
          <w:b w:val="0"/>
          <w:bCs w:val="0"/>
        </w:rPr>
        <w:t>obowiązywania Umowy, zgodnie z postanowieniami niniejszego paragrafu w maksymalnym wymiarze 180 Godzin Roboczych, z zastrzeżeniem ust. 2.</w:t>
      </w:r>
    </w:p>
    <w:p w14:paraId="0257D8C1" w14:textId="77777777" w:rsidR="004A3C05" w:rsidRDefault="004A3C05" w:rsidP="004A3C05">
      <w:pPr>
        <w:pStyle w:val="numeracjaIrzadzwykly"/>
        <w:rPr>
          <w:rFonts w:eastAsia="Lora"/>
        </w:rPr>
      </w:pPr>
      <w:r w:rsidRPr="00EC5E41">
        <w:rPr>
          <w:rFonts w:eastAsia="Lora"/>
        </w:rPr>
        <w:t xml:space="preserve">Zamawiający zastrzega sobie możliwość skorzystania z </w:t>
      </w:r>
      <w:r w:rsidRPr="00EC5E41">
        <w:rPr>
          <w:rFonts w:eastAsia="Lora"/>
          <w:b/>
        </w:rPr>
        <w:t xml:space="preserve">opcji (w całości lub w części) </w:t>
      </w:r>
      <w:r w:rsidRPr="00EC5E41">
        <w:rPr>
          <w:rFonts w:eastAsia="Lora"/>
        </w:rPr>
        <w:t xml:space="preserve">w przypadku, gdy będzie to leżeć w interesie Zamawiającego i wynikać z jego bieżących potrzeb – w trakcie obowiązywania Umowy. </w:t>
      </w:r>
      <w:r w:rsidRPr="00EC5E41">
        <w:rPr>
          <w:rFonts w:eastAsia="Lora"/>
          <w:b/>
        </w:rPr>
        <w:t xml:space="preserve">Opcja obejmuje uprawnienie Zamawiającego </w:t>
      </w:r>
      <w:r w:rsidRPr="00EC5E41">
        <w:rPr>
          <w:rFonts w:eastAsia="Lora"/>
        </w:rPr>
        <w:t xml:space="preserve">do zamówienia w ramach realizacji umowy dodatkowych prac z zakresu Usług Rozwoju w maksymalnym wymiarze </w:t>
      </w:r>
      <w:r w:rsidRPr="00EC5E41">
        <w:rPr>
          <w:rFonts w:eastAsia="Lora"/>
          <w:b/>
        </w:rPr>
        <w:t xml:space="preserve">60 </w:t>
      </w:r>
      <w:r w:rsidRPr="00EC5E41">
        <w:rPr>
          <w:rFonts w:eastAsia="Lora"/>
        </w:rPr>
        <w:t>Godzin</w:t>
      </w:r>
      <w:r w:rsidRPr="4DF880E6">
        <w:rPr>
          <w:rFonts w:eastAsia="Lora"/>
        </w:rPr>
        <w:t xml:space="preserve"> Roboczych. Warunkiem uruchomienia opcji jest złożenie Wykonawcy przez Zamawiającego pisemnego oświadczenia w przedmiocie skorzystania z opcji w zakresie wskazanym w oświadczeniu, podczas trwania Umowy. Opcja jest jednostronnym uprawnieniem Zamawiającego, z którego może, ale nie ma obowiązku skorzystać w ramach realizacji Umowy. W przypadku nieskorzystania przez Zamawiającego z opcji Wykonawcy nie przysługują żadne roszczenia z tego tytułu. Jeżeli Zamawiający skorzysta z opcji, obowiązkiem umownym Wykonawcy jest wykonanie świadczenia w zakresie objętym opcją. Zakres zamówienia objęty opcją będzie realizowany na takich samych warunkach jak zamówienie podstawowe. Zamawiający ma prawo wielokrotnie korzystać z opcji w trakcie realizacji Umowy – jednak do wyczerpania maksymalnego zakresu opcji. Zamówienie w ilości przekraczającej opcję wymaga zmiany Umowy. Ilekroć w Umowie wskazane jest pojęcie „Usług rozwoju”, „Zlecenia”, „Zamówienia” lub „Przedmiotu Umowy”, Strony rozumieją również prace realizowane w ramach opcji.</w:t>
      </w:r>
    </w:p>
    <w:p w14:paraId="7F232599" w14:textId="77777777" w:rsidR="004A3C05" w:rsidRDefault="004A3C05" w:rsidP="004A3C05">
      <w:pPr>
        <w:pStyle w:val="numeracjaIrzadzwykly"/>
        <w:rPr>
          <w:rFonts w:eastAsia="Lora"/>
        </w:rPr>
      </w:pPr>
      <w:r w:rsidRPr="4DF880E6">
        <w:rPr>
          <w:rFonts w:eastAsia="Lora"/>
        </w:rPr>
        <w:t>Procedura ustalania warunków realizacji usług rozwoju:</w:t>
      </w:r>
    </w:p>
    <w:p w14:paraId="0266555A" w14:textId="77777777" w:rsidR="004A3C05" w:rsidRDefault="004A3C05" w:rsidP="004A3C05">
      <w:pPr>
        <w:pStyle w:val="numeracjaIIrzadliczby"/>
        <w:numPr>
          <w:ilvl w:val="0"/>
          <w:numId w:val="9"/>
        </w:numPr>
        <w:ind w:left="714" w:hanging="357"/>
      </w:pPr>
      <w:r w:rsidRPr="4DF880E6">
        <w:t>Podstawą do wyceny czasowej pojedynczej usługi będzie formularz wyceny czasowej.</w:t>
      </w:r>
    </w:p>
    <w:p w14:paraId="2AE4FDFE" w14:textId="77777777" w:rsidR="004A3C05" w:rsidRDefault="004A3C05" w:rsidP="004A3C05">
      <w:pPr>
        <w:pStyle w:val="numeracjaIIrzadliczby"/>
        <w:ind w:left="714" w:hanging="357"/>
      </w:pPr>
      <w:r w:rsidRPr="4DF880E6">
        <w:t>Formularz wyceny czasowej będzie wypełniony w zakresie opisu zlecenia przez Zamawiającego i dostarczony do Wykonawcy celem dokonania wyceny czasowej.</w:t>
      </w:r>
    </w:p>
    <w:p w14:paraId="2DF0B7C4" w14:textId="77777777" w:rsidR="004A3C05" w:rsidRDefault="004A3C05" w:rsidP="004A3C05">
      <w:pPr>
        <w:pStyle w:val="numeracjaIIrzadliczby"/>
        <w:ind w:left="714" w:hanging="357"/>
      </w:pPr>
      <w:r w:rsidRPr="4DF880E6">
        <w:t>Wykonawca w ciągu 10 Dni Roboczych dokona wyceny czasowej zlecenia oraz zwrotnie dostarczy, podpisany przez siebie formularz Zamawiającemu.</w:t>
      </w:r>
    </w:p>
    <w:p w14:paraId="06C6B76B" w14:textId="77777777" w:rsidR="004A3C05" w:rsidRDefault="004A3C05" w:rsidP="004A3C05">
      <w:pPr>
        <w:pStyle w:val="numeracjaIIrzadliczby"/>
        <w:ind w:left="714" w:hanging="357"/>
      </w:pPr>
      <w:r w:rsidRPr="4DF880E6">
        <w:t>Decyzja dotycząca akceptacji wyceny czasowej zostanie podjęta przez osobę upoważnioną do zaciągania zobowiązań ze strony Zamawiającego w ciągu 3 Dni Roboczych od otrzymania wypełnionego przez Wykonawcę w pkt. 2 Formularza wyceny czasowej.</w:t>
      </w:r>
    </w:p>
    <w:p w14:paraId="107735DA" w14:textId="77777777" w:rsidR="004A3C05" w:rsidRDefault="004A3C05" w:rsidP="004A3C05">
      <w:pPr>
        <w:pStyle w:val="numeracjaIIrzadliczby"/>
        <w:ind w:left="714" w:hanging="357"/>
      </w:pPr>
      <w:r w:rsidRPr="4DF880E6">
        <w:t>W przypadku stwierdzenia zawyżenia wartości wyceny czasowej, Zamawiający zwróci się do Wykonawcy o złożenie stosownych wyjaśnień oraz o ponowną wycenę zlecenia.</w:t>
      </w:r>
    </w:p>
    <w:p w14:paraId="4859A597" w14:textId="77777777" w:rsidR="004A3C05" w:rsidRDefault="004A3C05" w:rsidP="004A3C05">
      <w:pPr>
        <w:pStyle w:val="numeracjaIIrzadliczby"/>
        <w:ind w:left="714" w:hanging="357"/>
      </w:pPr>
      <w:r w:rsidRPr="4DF880E6">
        <w:t xml:space="preserve">W przypadku akceptacji wyceny czasowej zaproponowanej przez Wykonawcę, Zamawiający wypełni Formularz Zlecenia i dostarczy go Wykonawcy.  </w:t>
      </w:r>
    </w:p>
    <w:p w14:paraId="323270F1" w14:textId="77777777" w:rsidR="004A3C05" w:rsidRDefault="004A3C05" w:rsidP="004A3C05">
      <w:pPr>
        <w:pStyle w:val="numeracjaIIrzadliczby"/>
        <w:ind w:left="714" w:hanging="357"/>
      </w:pPr>
      <w:r w:rsidRPr="4DF880E6">
        <w:t>Wykonawca zobowiąże się do świadczenia Usług Rozwoju zgodnie z zakresem i harmonogramem wykazanym w Formularzu Zlecenia.</w:t>
      </w:r>
    </w:p>
    <w:p w14:paraId="54239448" w14:textId="77777777" w:rsidR="004A3C05" w:rsidRDefault="004A3C05" w:rsidP="004A3C05">
      <w:pPr>
        <w:pStyle w:val="numeracjaIIrzadliczby"/>
        <w:ind w:left="714" w:hanging="357"/>
      </w:pPr>
      <w:r w:rsidRPr="4DF880E6">
        <w:lastRenderedPageBreak/>
        <w:t>Usługi będą realizowane w lokalizacji Zamawiającego, siedzibie Wykonawcy lub za pomocą połączenia zdalnego udostępnionego przez Zamawiającego.</w:t>
      </w:r>
    </w:p>
    <w:p w14:paraId="73FC79FA" w14:textId="77777777" w:rsidR="004A3C05" w:rsidRDefault="004A3C05" w:rsidP="004A3C05">
      <w:pPr>
        <w:pStyle w:val="numeracjaIIrzadliczby"/>
        <w:ind w:left="714" w:hanging="357"/>
      </w:pPr>
      <w:r w:rsidRPr="4DF880E6">
        <w:t>Zamawiający każdorazowo, przed rozpoczęciem prac uzgodni z Wykonawcą sposób realizacji Usługi Rozwoju.</w:t>
      </w:r>
    </w:p>
    <w:p w14:paraId="37E05445" w14:textId="77777777" w:rsidR="004A3C05" w:rsidRDefault="004A3C05" w:rsidP="004A3C05">
      <w:pPr>
        <w:pStyle w:val="numeracjaIIrzadliczby"/>
        <w:ind w:left="714" w:hanging="357"/>
      </w:pPr>
      <w:r w:rsidRPr="4DF880E6">
        <w:t>Prawidłowo i kompletnie przekazany do Wykonawcy Formularz Zlecenia będzie warunkiem przystąpienia do realizacji prac.</w:t>
      </w:r>
    </w:p>
    <w:p w14:paraId="340DBD00" w14:textId="77777777" w:rsidR="004A3C05" w:rsidRDefault="004A3C05" w:rsidP="004A3C05">
      <w:pPr>
        <w:pStyle w:val="numeracjaIIrzadliczby"/>
        <w:ind w:left="714" w:hanging="357"/>
      </w:pPr>
      <w:r w:rsidRPr="4DF880E6">
        <w:t>Zrealizowane Usługi Rozwoju będą podlegać procedurze Odbioru wskazanej w Umowie. Podpisany przez Zamawiającego protokół odbioru będzie podstawą do wystawienia faktury VAT przez Wykonawcę.</w:t>
      </w:r>
    </w:p>
    <w:p w14:paraId="0E186BFD" w14:textId="77777777" w:rsidR="004A3C05" w:rsidRDefault="004A3C05" w:rsidP="004A3C05">
      <w:pPr>
        <w:pStyle w:val="numeracjaIIrzadliczby"/>
        <w:ind w:left="714" w:hanging="357"/>
      </w:pPr>
      <w:r w:rsidRPr="4DF880E6">
        <w:t>Każda Usługa Rozwoju będzie skutkować aktualizacją odpowiedniej części Dokumentacji jej dotyczącej. Przekazanie zaktualizowanej Dokumentacji warunkuje dokonanie przez Zamawiającego odbioru.</w:t>
      </w:r>
    </w:p>
    <w:p w14:paraId="2F94CB35" w14:textId="77777777" w:rsidR="00686C6E" w:rsidRDefault="00686C6E"/>
    <w:sectPr w:rsidR="00686C6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panose1 w:val="020B0004020202020204"/>
    <w:charset w:val="EE"/>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Lora">
    <w:altName w:val="Lora"/>
    <w:charset w:val="EE"/>
    <w:family w:val="auto"/>
    <w:pitch w:val="variable"/>
    <w:sig w:usb0="A00002F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25A23D62"/>
    <w:lvl w:ilvl="0">
      <w:start w:val="1"/>
      <w:numFmt w:val="decimal"/>
      <w:pStyle w:val="numeracjaIrzad"/>
      <w:lvlText w:val="%1."/>
      <w:lvlJc w:val="left"/>
      <w:pPr>
        <w:ind w:left="360" w:hanging="360"/>
      </w:pPr>
      <w:rPr>
        <w:rFonts w:hint="default"/>
        <w:b w:val="0"/>
        <w:bCs w:val="0"/>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0000038"/>
    <w:multiLevelType w:val="multilevel"/>
    <w:tmpl w:val="C7626F6C"/>
    <w:name w:val="WW8Num56"/>
    <w:lvl w:ilvl="0">
      <w:start w:val="1"/>
      <w:numFmt w:val="lowerLetter"/>
      <w:pStyle w:val="numeracjaIIrzad"/>
      <w:lvlText w:val="%1)"/>
      <w:lvlJc w:val="left"/>
      <w:pPr>
        <w:ind w:left="644" w:hanging="360"/>
      </w:pPr>
      <w:rPr>
        <w:i w:val="0"/>
        <w:iCs w:val="0"/>
      </w:rPr>
    </w:lvl>
    <w:lvl w:ilvl="1">
      <w:start w:val="1"/>
      <w:numFmt w:val="lowerLetter"/>
      <w:lvlText w:val="%2)"/>
      <w:lvlJc w:val="left"/>
      <w:pPr>
        <w:tabs>
          <w:tab w:val="num" w:pos="1080"/>
        </w:tabs>
        <w:ind w:left="1080" w:hanging="360"/>
      </w:pPr>
    </w:lvl>
    <w:lvl w:ilvl="2">
      <w:start w:val="1"/>
      <w:numFmt w:val="bullet"/>
      <w:lvlText w:val=""/>
      <w:lvlJc w:val="left"/>
      <w:pPr>
        <w:ind w:left="1440" w:hanging="360"/>
      </w:pPr>
      <w:rPr>
        <w:rFonts w:ascii="Symbol" w:hAnsi="Symbol" w:hint="default"/>
      </w:r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21666D39"/>
    <w:multiLevelType w:val="hybridMultilevel"/>
    <w:tmpl w:val="2CB69692"/>
    <w:name w:val="WW8Num310"/>
    <w:lvl w:ilvl="0" w:tplc="924AB1A8">
      <w:start w:val="1"/>
      <w:numFmt w:val="decimal"/>
      <w:pStyle w:val="numeracjaIIrzadliczby"/>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15:restartNumberingAfterBreak="0">
    <w:nsid w:val="23FE7729"/>
    <w:multiLevelType w:val="multilevel"/>
    <w:tmpl w:val="C3B80C06"/>
    <w:lvl w:ilvl="0">
      <w:start w:val="1"/>
      <w:numFmt w:val="decimal"/>
      <w:lvlText w:val="%1."/>
      <w:lvlJc w:val="left"/>
      <w:pPr>
        <w:ind w:left="360" w:hanging="360"/>
      </w:pPr>
      <w:rPr>
        <w:rFonts w:hint="default"/>
        <w:b w:val="0"/>
        <w:bCs w:val="0"/>
      </w:rPr>
    </w:lvl>
    <w:lvl w:ilvl="1">
      <w:start w:val="1"/>
      <w:numFmt w:val="lowerLetter"/>
      <w:lvlText w:val="%2."/>
      <w:lvlJc w:val="left"/>
      <w:pPr>
        <w:ind w:left="360" w:hanging="360"/>
      </w:pPr>
      <w:rPr>
        <w:rFonts w:ascii="Arial" w:hAnsi="Arial" w:cs="Arial" w:hint="default"/>
        <w:b w:val="0"/>
        <w:i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390D6EC1"/>
    <w:multiLevelType w:val="multilevel"/>
    <w:tmpl w:val="2210204C"/>
    <w:lvl w:ilvl="0">
      <w:start w:val="1"/>
      <w:numFmt w:val="decimal"/>
      <w:lvlText w:val="%1."/>
      <w:lvlJc w:val="left"/>
      <w:pPr>
        <w:ind w:left="360" w:hanging="360"/>
      </w:pPr>
      <w:rPr>
        <w:rFonts w:hint="default"/>
        <w:b w:val="0"/>
        <w:bCs w:val="0"/>
      </w:rPr>
    </w:lvl>
    <w:lvl w:ilvl="1">
      <w:start w:val="1"/>
      <w:numFmt w:val="lowerLetter"/>
      <w:lvlText w:val="%2."/>
      <w:lvlJc w:val="left"/>
      <w:pPr>
        <w:ind w:left="360" w:hanging="360"/>
      </w:pPr>
      <w:rPr>
        <w:rFonts w:ascii="Arial" w:hAnsi="Arial" w:cs="Arial" w:hint="default"/>
        <w:b w:val="0"/>
        <w:i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15:restartNumberingAfterBreak="0">
    <w:nsid w:val="47537DFF"/>
    <w:multiLevelType w:val="multilevel"/>
    <w:tmpl w:val="3552F51E"/>
    <w:lvl w:ilvl="0">
      <w:start w:val="1"/>
      <w:numFmt w:val="decimal"/>
      <w:lvlText w:val="%1."/>
      <w:lvlJc w:val="left"/>
      <w:pPr>
        <w:ind w:left="360" w:hanging="360"/>
      </w:pPr>
      <w:rPr>
        <w:rFonts w:hint="default"/>
        <w:b w:val="0"/>
        <w:bCs w:val="0"/>
      </w:rPr>
    </w:lvl>
    <w:lvl w:ilvl="1">
      <w:start w:val="1"/>
      <w:numFmt w:val="lowerLetter"/>
      <w:lvlText w:val="%2."/>
      <w:lvlJc w:val="left"/>
      <w:pPr>
        <w:ind w:left="360" w:hanging="360"/>
      </w:pPr>
      <w:rPr>
        <w:rFonts w:ascii="Arial" w:hAnsi="Arial" w:cs="Arial" w:hint="default"/>
        <w:b w:val="0"/>
        <w:i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5B97798C"/>
    <w:multiLevelType w:val="multilevel"/>
    <w:tmpl w:val="E530283A"/>
    <w:lvl w:ilvl="0">
      <w:start w:val="1"/>
      <w:numFmt w:val="decimal"/>
      <w:lvlText w:val="%1."/>
      <w:lvlJc w:val="left"/>
      <w:pPr>
        <w:ind w:left="360" w:hanging="360"/>
      </w:pPr>
      <w:rPr>
        <w:rFonts w:hint="default"/>
        <w:b w:val="0"/>
        <w:bCs w:val="0"/>
      </w:rPr>
    </w:lvl>
    <w:lvl w:ilvl="1">
      <w:start w:val="1"/>
      <w:numFmt w:val="lowerLetter"/>
      <w:lvlText w:val="%2."/>
      <w:lvlJc w:val="left"/>
      <w:pPr>
        <w:ind w:left="360" w:hanging="360"/>
      </w:pPr>
      <w:rPr>
        <w:rFonts w:ascii="Arial" w:hAnsi="Arial" w:cs="Arial" w:hint="default"/>
        <w:b w:val="0"/>
        <w:i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16cid:durableId="1796098926">
    <w:abstractNumId w:val="0"/>
  </w:num>
  <w:num w:numId="2" w16cid:durableId="1665664362">
    <w:abstractNumId w:val="1"/>
  </w:num>
  <w:num w:numId="3" w16cid:durableId="786506814">
    <w:abstractNumId w:val="2"/>
  </w:num>
  <w:num w:numId="4" w16cid:durableId="5842641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3638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6131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8722976">
    <w:abstractNumId w:val="2"/>
    <w:lvlOverride w:ilvl="0">
      <w:startOverride w:val="1"/>
    </w:lvlOverride>
  </w:num>
  <w:num w:numId="8" w16cid:durableId="4635454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1566726">
    <w:abstractNumId w:val="2"/>
    <w:lvlOverride w:ilvl="0">
      <w:startOverride w:val="1"/>
    </w:lvlOverride>
  </w:num>
  <w:num w:numId="10" w16cid:durableId="1782720436">
    <w:abstractNumId w:val="5"/>
  </w:num>
  <w:num w:numId="11" w16cid:durableId="1183013989">
    <w:abstractNumId w:val="6"/>
  </w:num>
  <w:num w:numId="12" w16cid:durableId="912736160">
    <w:abstractNumId w:val="3"/>
  </w:num>
  <w:num w:numId="13" w16cid:durableId="7822682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05"/>
    <w:rsid w:val="002B5845"/>
    <w:rsid w:val="004A3C05"/>
    <w:rsid w:val="004B2291"/>
    <w:rsid w:val="00617E3D"/>
    <w:rsid w:val="00686C6E"/>
    <w:rsid w:val="007F7822"/>
    <w:rsid w:val="008E4DE0"/>
    <w:rsid w:val="009F3D6F"/>
    <w:rsid w:val="00E03500"/>
    <w:rsid w:val="00EC5E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812FF"/>
  <w15:chartTrackingRefBased/>
  <w15:docId w15:val="{80A6D06E-D279-4A89-918F-9CD67040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3C05"/>
    <w:pPr>
      <w:widowControl w:val="0"/>
      <w:suppressAutoHyphens/>
      <w:spacing w:after="0" w:line="240" w:lineRule="auto"/>
      <w:ind w:left="709" w:hanging="284"/>
      <w:jc w:val="both"/>
    </w:pPr>
    <w:rPr>
      <w:rFonts w:ascii="Times New Roman" w:eastAsia="Times New Roman" w:hAnsi="Times New Roman" w:cs="Times New Roman"/>
      <w:kern w:val="0"/>
      <w:sz w:val="24"/>
      <w:szCs w:val="20"/>
      <w:lang w:eastAsia="zh-CN"/>
      <w14:ligatures w14:val="none"/>
    </w:rPr>
  </w:style>
  <w:style w:type="paragraph" w:styleId="Nagwek1">
    <w:name w:val="heading 1"/>
    <w:basedOn w:val="Normalny"/>
    <w:next w:val="Normalny"/>
    <w:link w:val="Nagwek1Znak"/>
    <w:uiPriority w:val="9"/>
    <w:qFormat/>
    <w:rsid w:val="004A3C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4A3C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4A3C0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4A3C0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4A3C0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4A3C05"/>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A3C05"/>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A3C05"/>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A3C05"/>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A3C0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4A3C0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4A3C0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4A3C0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4A3C0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4A3C0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A3C0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A3C0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A3C05"/>
    <w:rPr>
      <w:rFonts w:eastAsiaTheme="majorEastAsia" w:cstheme="majorBidi"/>
      <w:color w:val="272727" w:themeColor="text1" w:themeTint="D8"/>
    </w:rPr>
  </w:style>
  <w:style w:type="paragraph" w:styleId="Tytu">
    <w:name w:val="Title"/>
    <w:basedOn w:val="Normalny"/>
    <w:next w:val="Normalny"/>
    <w:link w:val="TytuZnak"/>
    <w:uiPriority w:val="10"/>
    <w:qFormat/>
    <w:rsid w:val="004A3C05"/>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A3C0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A3C05"/>
    <w:pPr>
      <w:numPr>
        <w:ilvl w:val="1"/>
      </w:numPr>
      <w:ind w:left="709" w:hanging="284"/>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A3C0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A3C05"/>
    <w:pPr>
      <w:spacing w:before="160"/>
      <w:jc w:val="center"/>
    </w:pPr>
    <w:rPr>
      <w:i/>
      <w:iCs/>
      <w:color w:val="404040" w:themeColor="text1" w:themeTint="BF"/>
    </w:rPr>
  </w:style>
  <w:style w:type="character" w:customStyle="1" w:styleId="CytatZnak">
    <w:name w:val="Cytat Znak"/>
    <w:basedOn w:val="Domylnaczcionkaakapitu"/>
    <w:link w:val="Cytat"/>
    <w:uiPriority w:val="29"/>
    <w:rsid w:val="004A3C05"/>
    <w:rPr>
      <w:i/>
      <w:iCs/>
      <w:color w:val="404040" w:themeColor="text1" w:themeTint="BF"/>
    </w:rPr>
  </w:style>
  <w:style w:type="paragraph" w:styleId="Akapitzlist">
    <w:name w:val="List Paragraph"/>
    <w:basedOn w:val="Normalny"/>
    <w:uiPriority w:val="34"/>
    <w:qFormat/>
    <w:rsid w:val="004A3C05"/>
    <w:pPr>
      <w:ind w:left="720"/>
      <w:contextualSpacing/>
    </w:pPr>
  </w:style>
  <w:style w:type="character" w:styleId="Wyrnienieintensywne">
    <w:name w:val="Intense Emphasis"/>
    <w:basedOn w:val="Domylnaczcionkaakapitu"/>
    <w:uiPriority w:val="21"/>
    <w:qFormat/>
    <w:rsid w:val="004A3C05"/>
    <w:rPr>
      <w:i/>
      <w:iCs/>
      <w:color w:val="0F4761" w:themeColor="accent1" w:themeShade="BF"/>
    </w:rPr>
  </w:style>
  <w:style w:type="paragraph" w:styleId="Cytatintensywny">
    <w:name w:val="Intense Quote"/>
    <w:basedOn w:val="Normalny"/>
    <w:next w:val="Normalny"/>
    <w:link w:val="CytatintensywnyZnak"/>
    <w:uiPriority w:val="30"/>
    <w:qFormat/>
    <w:rsid w:val="004A3C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4A3C05"/>
    <w:rPr>
      <w:i/>
      <w:iCs/>
      <w:color w:val="0F4761" w:themeColor="accent1" w:themeShade="BF"/>
    </w:rPr>
  </w:style>
  <w:style w:type="character" w:styleId="Odwoanieintensywne">
    <w:name w:val="Intense Reference"/>
    <w:basedOn w:val="Domylnaczcionkaakapitu"/>
    <w:uiPriority w:val="32"/>
    <w:qFormat/>
    <w:rsid w:val="004A3C05"/>
    <w:rPr>
      <w:b/>
      <w:bCs/>
      <w:smallCaps/>
      <w:color w:val="0F4761" w:themeColor="accent1" w:themeShade="BF"/>
      <w:spacing w:val="5"/>
    </w:rPr>
  </w:style>
  <w:style w:type="table" w:styleId="Tabela-Siatka">
    <w:name w:val="Table Grid"/>
    <w:basedOn w:val="Standardowy"/>
    <w:uiPriority w:val="39"/>
    <w:rsid w:val="004A3C05"/>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acjaIrzad">
    <w:name w:val="numeracja_I_rzad"/>
    <w:uiPriority w:val="1"/>
    <w:qFormat/>
    <w:rsid w:val="004A3C05"/>
    <w:pPr>
      <w:numPr>
        <w:numId w:val="1"/>
      </w:numPr>
      <w:tabs>
        <w:tab w:val="left" w:pos="567"/>
      </w:tabs>
      <w:spacing w:before="120" w:after="120" w:line="240" w:lineRule="auto"/>
      <w:jc w:val="both"/>
    </w:pPr>
    <w:rPr>
      <w:rFonts w:ascii="Arial" w:eastAsia="Times New Roman" w:hAnsi="Arial" w:cs="Arial"/>
      <w:b/>
      <w:bCs/>
      <w:kern w:val="0"/>
      <w:szCs w:val="20"/>
      <w:lang w:eastAsia="pl-PL"/>
      <w14:ligatures w14:val="none"/>
    </w:rPr>
  </w:style>
  <w:style w:type="paragraph" w:customStyle="1" w:styleId="podcieciepodIrzad">
    <w:name w:val="podciecie_pod_I_rzad"/>
    <w:basedOn w:val="numeracjaIrzad"/>
    <w:qFormat/>
    <w:rsid w:val="004A3C05"/>
    <w:pPr>
      <w:numPr>
        <w:numId w:val="0"/>
      </w:numPr>
      <w:spacing w:before="0"/>
      <w:ind w:left="567"/>
    </w:pPr>
    <w:rPr>
      <w:b w:val="0"/>
    </w:rPr>
  </w:style>
  <w:style w:type="paragraph" w:customStyle="1" w:styleId="numeracjaIIrzad">
    <w:name w:val="numeracja_II_rzad"/>
    <w:basedOn w:val="Normalny"/>
    <w:qFormat/>
    <w:rsid w:val="004A3C05"/>
    <w:pPr>
      <w:widowControl/>
      <w:numPr>
        <w:numId w:val="2"/>
      </w:numPr>
      <w:autoSpaceDE w:val="0"/>
      <w:spacing w:before="120" w:after="120"/>
      <w:ind w:left="1134" w:hanging="567"/>
    </w:pPr>
    <w:rPr>
      <w:rFonts w:ascii="Arial" w:eastAsia="Calibri" w:hAnsi="Arial" w:cs="Arial"/>
      <w:color w:val="000000"/>
      <w:sz w:val="22"/>
      <w:szCs w:val="22"/>
    </w:rPr>
  </w:style>
  <w:style w:type="paragraph" w:customStyle="1" w:styleId="numeracjaIIrzadliczby">
    <w:name w:val="numeracja_II_rzad_liczby"/>
    <w:basedOn w:val="numeracjaIIrzad"/>
    <w:qFormat/>
    <w:rsid w:val="004A3C05"/>
    <w:pPr>
      <w:numPr>
        <w:numId w:val="3"/>
      </w:numPr>
    </w:pPr>
  </w:style>
  <w:style w:type="paragraph" w:customStyle="1" w:styleId="tytulzalacznika">
    <w:name w:val="tytul_zalacznika"/>
    <w:basedOn w:val="Normalny"/>
    <w:qFormat/>
    <w:rsid w:val="004A3C05"/>
    <w:pPr>
      <w:widowControl/>
      <w:suppressAutoHyphens w:val="0"/>
      <w:spacing w:after="360" w:line="340" w:lineRule="exact"/>
      <w:ind w:left="0" w:firstLine="0"/>
      <w:jc w:val="center"/>
    </w:pPr>
    <w:rPr>
      <w:rFonts w:ascii="Arial" w:hAnsi="Arial" w:cs="Arial"/>
      <w:b/>
      <w:sz w:val="20"/>
      <w:szCs w:val="24"/>
      <w:lang w:eastAsia="pl-PL"/>
    </w:rPr>
  </w:style>
  <w:style w:type="paragraph" w:customStyle="1" w:styleId="txt">
    <w:name w:val="txt"/>
    <w:basedOn w:val="podcieciepodIrzad"/>
    <w:qFormat/>
    <w:rsid w:val="004A3C05"/>
    <w:pPr>
      <w:ind w:left="0"/>
    </w:pPr>
  </w:style>
  <w:style w:type="paragraph" w:customStyle="1" w:styleId="numeracjaIrzadzwykly">
    <w:name w:val="numeracja_I_rzad_zwykly"/>
    <w:basedOn w:val="numeracjaIrzad"/>
    <w:qFormat/>
    <w:rsid w:val="004A3C05"/>
    <w:rPr>
      <w:b w:val="0"/>
    </w:rPr>
  </w:style>
  <w:style w:type="paragraph" w:customStyle="1" w:styleId="numerzalacznika">
    <w:name w:val="numer_zalacznika"/>
    <w:basedOn w:val="tytulzalacznika"/>
    <w:qFormat/>
    <w:rsid w:val="004A3C05"/>
    <w:pPr>
      <w:jc w:val="right"/>
    </w:pPr>
    <w:rPr>
      <w:b w:val="0"/>
    </w:rPr>
  </w:style>
  <w:style w:type="paragraph" w:styleId="Poprawka">
    <w:name w:val="Revision"/>
    <w:hidden/>
    <w:uiPriority w:val="99"/>
    <w:semiHidden/>
    <w:rsid w:val="004B2291"/>
    <w:pPr>
      <w:spacing w:after="0" w:line="240" w:lineRule="auto"/>
    </w:pPr>
    <w:rPr>
      <w:rFonts w:ascii="Times New Roman" w:eastAsia="Times New Roman" w:hAnsi="Times New Roman" w:cs="Times New Roman"/>
      <w:kern w:val="0"/>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2388</Words>
  <Characters>14333</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Grzymała-Łuszcz</dc:creator>
  <cp:keywords/>
  <dc:description/>
  <cp:lastModifiedBy>Justyna Grzymała-Łuszcz</cp:lastModifiedBy>
  <cp:revision>4</cp:revision>
  <dcterms:created xsi:type="dcterms:W3CDTF">2025-12-05T13:15:00Z</dcterms:created>
  <dcterms:modified xsi:type="dcterms:W3CDTF">2025-12-12T16:06:00Z</dcterms:modified>
</cp:coreProperties>
</file>