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B48EAA" w14:textId="77777777" w:rsidR="00A77B3E" w:rsidRDefault="003949E6">
      <w:pPr>
        <w:jc w:val="center"/>
        <w:rPr>
          <w:b/>
          <w:caps/>
        </w:rPr>
      </w:pPr>
      <w:r>
        <w:rPr>
          <w:b/>
          <w:caps/>
        </w:rPr>
        <w:t>Uchwała Nr 60/2023</w:t>
      </w:r>
      <w:r>
        <w:rPr>
          <w:b/>
          <w:caps/>
        </w:rPr>
        <w:br/>
        <w:t>Prezydium Polskiej Akademii Nauk</w:t>
      </w:r>
    </w:p>
    <w:p w14:paraId="5FB48EAB" w14:textId="77777777" w:rsidR="00A77B3E" w:rsidRDefault="003949E6">
      <w:pPr>
        <w:spacing w:before="280" w:after="280"/>
        <w:jc w:val="center"/>
        <w:rPr>
          <w:b/>
          <w:caps/>
        </w:rPr>
      </w:pPr>
      <w:r>
        <w:t>z dnia 17 października 2023 r.</w:t>
      </w:r>
    </w:p>
    <w:p w14:paraId="5FB48EAC" w14:textId="77777777" w:rsidR="00A77B3E" w:rsidRDefault="003949E6">
      <w:pPr>
        <w:keepNext/>
        <w:spacing w:after="480"/>
        <w:jc w:val="center"/>
      </w:pPr>
      <w:r>
        <w:rPr>
          <w:b/>
        </w:rPr>
        <w:t xml:space="preserve">zmieniająca uchwałę w sprawie wyrażenia zgody na rozporządzenie składnikami aktywów trwałych przez Instytut Rozrodu Zwierząt i Badań Żywności Polskiej Akademii Nauk, </w:t>
      </w:r>
      <w:r>
        <w:rPr>
          <w:b/>
        </w:rPr>
        <w:t>polegające na obciążeniu hipotekami nieruchomości będących w użytkowaniu wieczystym lub stanowiących własność Instytutu położonych w Olsztynie przy ul. Tuwima 10, ul. Bydgoskiej 5, 5A, 7 i 7A oraz ul. </w:t>
      </w:r>
      <w:proofErr w:type="spellStart"/>
      <w:r>
        <w:rPr>
          <w:b/>
        </w:rPr>
        <w:t>Trylińskiego</w:t>
      </w:r>
      <w:proofErr w:type="spellEnd"/>
    </w:p>
    <w:p w14:paraId="5FB48EAD" w14:textId="77777777" w:rsidR="00A77B3E" w:rsidRDefault="003949E6">
      <w:pPr>
        <w:keepLines/>
        <w:spacing w:before="120" w:after="120"/>
        <w:ind w:firstLine="227"/>
      </w:pPr>
      <w:r>
        <w:t xml:space="preserve">Na podstawie art. 54 ust. 3 ustawy z dnia </w:t>
      </w:r>
      <w:r>
        <w:t>30 kwietnia 2010 r. o Polskiej Akademii Nauk (</w:t>
      </w:r>
      <w:proofErr w:type="spellStart"/>
      <w:r>
        <w:t>t.j</w:t>
      </w:r>
      <w:proofErr w:type="spellEnd"/>
      <w:r>
        <w:t>. Dz. U. z 2020 r. poz. 1796) uchwala się, co następuje:</w:t>
      </w:r>
    </w:p>
    <w:p w14:paraId="5FB48EAE" w14:textId="77777777" w:rsidR="00D11095" w:rsidRDefault="003949E6">
      <w:pPr>
        <w:keepNext/>
        <w:spacing w:before="280"/>
        <w:jc w:val="center"/>
      </w:pPr>
      <w:r>
        <w:rPr>
          <w:b/>
        </w:rPr>
        <w:t>§ 1. </w:t>
      </w:r>
    </w:p>
    <w:p w14:paraId="5FB48EAF" w14:textId="77777777" w:rsidR="00A77B3E" w:rsidRDefault="003949E6">
      <w:pPr>
        <w:keepLines/>
        <w:spacing w:before="120" w:after="120"/>
        <w:ind w:firstLine="340"/>
      </w:pPr>
      <w:r>
        <w:t>W uchwale Nr 57/2020 Prezydium Polskiej Akademii Nauk z dnia 17 listopada 2020 r. w sprawie wyrażenia zgody na rozporządzenie składnikami aktywó</w:t>
      </w:r>
      <w:r>
        <w:t>w trwałych przez Instytut Rozrodu Zwierząt i Badań Żywności Polskiej Akademii Nauk, polegające na obciążeniu hipotekami nieruchomości będących w użytkowaniu wieczystym lub stanowiących własność Instytutu położonych w Olsztynie przy ul. Tuwima 10, ul. Bydgo</w:t>
      </w:r>
      <w:r>
        <w:t>skiej 5, 5A, 7 i 7A oraz ul. </w:t>
      </w:r>
      <w:proofErr w:type="spellStart"/>
      <w:r>
        <w:t>Trylińskiego</w:t>
      </w:r>
      <w:proofErr w:type="spellEnd"/>
      <w:r>
        <w:t>, wprowadza się następujące zmiany:</w:t>
      </w:r>
    </w:p>
    <w:p w14:paraId="5FB48EB0" w14:textId="77777777" w:rsidR="00A77B3E" w:rsidRDefault="003949E6">
      <w:pPr>
        <w:spacing w:before="120" w:after="120"/>
        <w:ind w:left="340" w:hanging="227"/>
        <w:rPr>
          <w:color w:val="000000"/>
          <w:u w:color="000000"/>
        </w:rPr>
      </w:pPr>
      <w:r>
        <w:t>1) </w:t>
      </w:r>
      <w:r>
        <w:t xml:space="preserve">w § 1 wprowadzenie do wyliczenia otrzymuje brzmienie: </w:t>
      </w:r>
    </w:p>
    <w:p w14:paraId="5FB48EB1" w14:textId="77777777" w:rsidR="00A77B3E" w:rsidRDefault="003949E6">
      <w:pPr>
        <w:keepLines/>
        <w:spacing w:before="120" w:after="120"/>
        <w:ind w:left="453" w:firstLine="227"/>
        <w:rPr>
          <w:color w:val="000000"/>
          <w:u w:color="000000"/>
        </w:rPr>
      </w:pPr>
      <w:r>
        <w:t>„</w:t>
      </w:r>
      <w:r>
        <w:t>§ 1. </w:t>
      </w:r>
      <w:r>
        <w:rPr>
          <w:color w:val="000000"/>
          <w:u w:color="000000"/>
        </w:rPr>
        <w:t>Prezydium Polskiej Akademii Nauk wyraża zgodę na rozporządzenie składnikami aktywów trwałych przez Instytut Rozrodu</w:t>
      </w:r>
      <w:r>
        <w:rPr>
          <w:color w:val="000000"/>
          <w:u w:color="000000"/>
        </w:rPr>
        <w:t xml:space="preserve"> Zwierząt i Badań Żywności Polskiej Akademii Nauk w Olsztynie, zwany dalej „Instytutem”, polegające na obciążeniu hipoteką z najwyższym pierwszeństwem zaspokojenia, do kwoty 48 502 698,19 zł słownie (czterdzieści osiem milionów pięćset dwa tysiące sześćset</w:t>
      </w:r>
      <w:r>
        <w:rPr>
          <w:color w:val="000000"/>
          <w:u w:color="000000"/>
        </w:rPr>
        <w:t xml:space="preserve"> dziewięćdziesiąt osiem złotych i 19/100) na rzecz Banku Gospodarstwa Krajowego, niżej wymienionych nieruchomości:</w:t>
      </w:r>
      <w:r>
        <w:t>”</w:t>
      </w:r>
      <w:r>
        <w:t>;</w:t>
      </w:r>
    </w:p>
    <w:p w14:paraId="5FB48EB2" w14:textId="77777777" w:rsidR="00A77B3E" w:rsidRDefault="003949E6">
      <w:pPr>
        <w:spacing w:before="120" w:after="120"/>
        <w:ind w:left="340" w:hanging="227"/>
        <w:rPr>
          <w:color w:val="000000"/>
          <w:u w:color="000000"/>
        </w:rPr>
      </w:pPr>
      <w:r>
        <w:t>2) </w:t>
      </w:r>
      <w:r>
        <w:rPr>
          <w:color w:val="000000"/>
          <w:u w:color="000000"/>
        </w:rPr>
        <w:t xml:space="preserve">§ 2 otrzymuje brzmienie: </w:t>
      </w:r>
    </w:p>
    <w:p w14:paraId="5FB48EB3" w14:textId="77777777" w:rsidR="00A77B3E" w:rsidRDefault="003949E6">
      <w:pPr>
        <w:keepLines/>
        <w:spacing w:before="120" w:after="120"/>
        <w:ind w:left="453" w:firstLine="227"/>
        <w:rPr>
          <w:color w:val="000000"/>
          <w:u w:color="000000"/>
        </w:rPr>
      </w:pPr>
      <w:r>
        <w:t>„</w:t>
      </w:r>
      <w:r>
        <w:t>§ 2. </w:t>
      </w:r>
      <w:r>
        <w:rPr>
          <w:color w:val="000000"/>
          <w:u w:color="000000"/>
        </w:rPr>
        <w:t>Wartość rynkowa przedmiotu rozporządzenia, obejmująca nieruchomości wymienione w § 1 pkt 1 tj. 12 005 00</w:t>
      </w:r>
      <w:r>
        <w:rPr>
          <w:color w:val="000000"/>
          <w:u w:color="000000"/>
        </w:rPr>
        <w:t>0 zł, pkt 2 - 4, tj. 9 023 000 zł; pkt 5 tj. 6 626 000 zł oraz pkt 6 tj. 55 808 000 zł, wynosi łącznie 83 462 000 zł (słownie: osiemdziesiąt trzy miliony czterysta sześćdziesiąt dwa tysiące złotych) i została określona w operatach szacunkowych sporządzonyc</w:t>
      </w:r>
      <w:r>
        <w:rPr>
          <w:color w:val="000000"/>
          <w:u w:color="000000"/>
        </w:rPr>
        <w:t>h przez rzeczoznawcę majątkowego Łukasza Żuka z dnia 15 lutego 2023 r. oraz z dnia 7 września 2023 r.</w:t>
      </w:r>
      <w:r>
        <w:t>”</w:t>
      </w:r>
      <w:r>
        <w:t>;</w:t>
      </w:r>
    </w:p>
    <w:p w14:paraId="5FB48EB4" w14:textId="77777777" w:rsidR="00A77B3E" w:rsidRDefault="003949E6">
      <w:pPr>
        <w:spacing w:before="120" w:after="120"/>
        <w:ind w:left="340" w:hanging="227"/>
        <w:rPr>
          <w:color w:val="000000"/>
          <w:u w:color="000000"/>
        </w:rPr>
      </w:pPr>
      <w:r>
        <w:t>3) </w:t>
      </w:r>
      <w:r>
        <w:rPr>
          <w:color w:val="000000"/>
          <w:u w:color="000000"/>
        </w:rPr>
        <w:t xml:space="preserve">po § 2 dodaje się § 2a w brzmieniu: </w:t>
      </w:r>
    </w:p>
    <w:p w14:paraId="5FB48EB5" w14:textId="77777777" w:rsidR="00A77B3E" w:rsidRDefault="003949E6">
      <w:pPr>
        <w:keepLines/>
        <w:spacing w:before="120" w:after="120"/>
        <w:ind w:left="453" w:firstLine="227"/>
        <w:rPr>
          <w:color w:val="000000"/>
          <w:u w:color="000000"/>
        </w:rPr>
      </w:pPr>
      <w:r>
        <w:t>„</w:t>
      </w:r>
      <w:r>
        <w:t>§ 2a. </w:t>
      </w:r>
      <w:r>
        <w:rPr>
          <w:color w:val="000000"/>
          <w:u w:color="000000"/>
        </w:rPr>
        <w:t xml:space="preserve">Zgodnie z art. 38 ust. 1 pkt 2) ustawy z dnia 16 grudnia 2016 r. o zasadach zarządzania mieniem </w:t>
      </w:r>
      <w:r>
        <w:rPr>
          <w:color w:val="000000"/>
          <w:u w:color="000000"/>
        </w:rPr>
        <w:t>państwowym (Dz. U. z 2020 r. poz. 735) jeżeli szacunkowa wartość rynkowa przedmiotu czynności prawnej przekracza kwotę 5 000 000 zł, jak w omawianym przypadku, czynność prawna wymaga uzyskania zgody Prokuratorii Generalnej Rzeczypospolitej Polskiej.</w:t>
      </w:r>
      <w:r>
        <w:t>”</w:t>
      </w:r>
      <w:r>
        <w:t>.</w:t>
      </w:r>
    </w:p>
    <w:p w14:paraId="5FB48EB6" w14:textId="77777777" w:rsidR="00D11095" w:rsidRDefault="003949E6">
      <w:pPr>
        <w:keepNext/>
        <w:spacing w:before="280"/>
        <w:jc w:val="center"/>
      </w:pPr>
      <w:r>
        <w:rPr>
          <w:b/>
        </w:rPr>
        <w:t>§ 2.</w:t>
      </w:r>
      <w:r>
        <w:rPr>
          <w:b/>
        </w:rPr>
        <w:t> </w:t>
      </w:r>
    </w:p>
    <w:p w14:paraId="5FB48EB8" w14:textId="4ABE58FA" w:rsidR="00A77B3E" w:rsidRDefault="003949E6" w:rsidP="003949E6">
      <w:pPr>
        <w:keepNext/>
        <w:keepLines/>
        <w:spacing w:before="120" w:after="120"/>
        <w:ind w:firstLine="340"/>
        <w:rPr>
          <w:color w:val="000000"/>
          <w:u w:color="000000"/>
        </w:rPr>
      </w:pPr>
      <w:r>
        <w:rPr>
          <w:color w:val="000000"/>
          <w:u w:color="000000"/>
        </w:rPr>
        <w:t>Uchwała wchodzi w życie z dniem podjęcia.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1"/>
        <w:gridCol w:w="5041"/>
      </w:tblGrid>
      <w:tr w:rsidR="00D11095" w14:paraId="5FB48EBE" w14:textId="77777777">
        <w:tc>
          <w:tcPr>
            <w:tcW w:w="5040" w:type="dxa"/>
            <w:tcBorders>
              <w:top w:val="nil"/>
              <w:left w:val="nil"/>
              <w:bottom w:val="nil"/>
              <w:right w:val="nil"/>
            </w:tcBorders>
            <w:tcMar>
              <w:top w:w="100" w:type="dxa"/>
            </w:tcMar>
          </w:tcPr>
          <w:p w14:paraId="5FB48EB9" w14:textId="77777777" w:rsidR="00A77B3E" w:rsidRDefault="00A77B3E">
            <w:pPr>
              <w:rPr>
                <w:color w:val="000000"/>
                <w:u w:color="000000"/>
              </w:rPr>
            </w:pPr>
          </w:p>
        </w:tc>
        <w:tc>
          <w:tcPr>
            <w:tcW w:w="5040" w:type="dxa"/>
            <w:tcBorders>
              <w:top w:val="nil"/>
              <w:left w:val="nil"/>
              <w:bottom w:val="nil"/>
              <w:right w:val="nil"/>
            </w:tcBorders>
            <w:tcMar>
              <w:top w:w="100" w:type="dxa"/>
            </w:tcMar>
          </w:tcPr>
          <w:p w14:paraId="5FB48EBA" w14:textId="77777777" w:rsidR="00A77B3E" w:rsidRDefault="003949E6">
            <w:pPr>
              <w:jc w:val="center"/>
              <w:rPr>
                <w:color w:val="000000"/>
                <w:u w:color="000000"/>
              </w:rPr>
            </w:pPr>
            <w:r>
              <w:t xml:space="preserve">Prezes </w:t>
            </w:r>
          </w:p>
          <w:p w14:paraId="5FB48EBB" w14:textId="77777777" w:rsidR="00D11095" w:rsidRDefault="003949E6">
            <w:pPr>
              <w:jc w:val="center"/>
            </w:pPr>
            <w:r>
              <w:t>Polskiej Akademii Nauk</w:t>
            </w:r>
          </w:p>
          <w:p w14:paraId="5FB48EBC" w14:textId="77777777" w:rsidR="00D11095" w:rsidRDefault="00D11095">
            <w:pPr>
              <w:jc w:val="center"/>
            </w:pPr>
          </w:p>
          <w:p w14:paraId="5181DB08" w14:textId="77777777" w:rsidR="003949E6" w:rsidRDefault="003949E6">
            <w:pPr>
              <w:jc w:val="center"/>
            </w:pPr>
          </w:p>
          <w:p w14:paraId="4B13D900" w14:textId="77777777" w:rsidR="003949E6" w:rsidRDefault="003949E6">
            <w:pPr>
              <w:jc w:val="center"/>
            </w:pPr>
          </w:p>
          <w:p w14:paraId="5FB48EBD" w14:textId="77777777" w:rsidR="00D11095" w:rsidRDefault="003949E6">
            <w:pPr>
              <w:jc w:val="center"/>
            </w:pPr>
            <w:r>
              <w:rPr>
                <w:b/>
              </w:rPr>
              <w:t>Marek Konarzewski</w:t>
            </w:r>
          </w:p>
        </w:tc>
      </w:tr>
    </w:tbl>
    <w:p w14:paraId="5FB48EBF" w14:textId="77777777" w:rsidR="00A77B3E" w:rsidRDefault="003949E6">
      <w:pPr>
        <w:keepLines/>
        <w:spacing w:before="280" w:after="280" w:line="360" w:lineRule="auto"/>
        <w:jc w:val="center"/>
        <w:rPr>
          <w:color w:val="000000"/>
          <w:spacing w:val="20"/>
          <w:u w:color="000000"/>
        </w:rPr>
      </w:pPr>
      <w:r>
        <w:lastRenderedPageBreak/>
        <w:t>Uzasadnienie do uchwały Nr 60/2023</w:t>
      </w:r>
      <w:r>
        <w:rPr>
          <w:color w:val="000000"/>
          <w:spacing w:val="20"/>
          <w:u w:color="000000"/>
        </w:rPr>
        <w:br/>
      </w:r>
      <w:r>
        <w:t>Prezydium Polskiej Akademii Nauk</w:t>
      </w:r>
      <w:r>
        <w:rPr>
          <w:color w:val="000000"/>
          <w:spacing w:val="20"/>
          <w:u w:color="000000"/>
        </w:rPr>
        <w:br/>
      </w:r>
      <w:r>
        <w:t>z dnia 17 października 2023 r.</w:t>
      </w:r>
    </w:p>
    <w:p w14:paraId="5FB48EC0" w14:textId="77777777" w:rsidR="00A77B3E" w:rsidRDefault="003949E6">
      <w:pPr>
        <w:spacing w:before="120" w:after="120"/>
        <w:ind w:firstLine="227"/>
        <w:rPr>
          <w:color w:val="000000"/>
          <w:u w:color="000000"/>
        </w:rPr>
      </w:pPr>
      <w:r>
        <w:rPr>
          <w:color w:val="000000"/>
          <w:u w:color="000000"/>
        </w:rPr>
        <w:t xml:space="preserve">Pismem z dnia 7 kwietnia 2020 r. Instytut Rozrodu </w:t>
      </w:r>
      <w:r>
        <w:rPr>
          <w:color w:val="000000"/>
          <w:u w:color="000000"/>
        </w:rPr>
        <w:t>Zwierząt i Badań Żywności Polskiej Akademii Nauk w Olsztynie, zwany dalej „Instytutem” wystąpił o wyrażenie zgody przez Prezesa Polskiej Akademii Nauk i Prezydium Polskiej Akademii Nauk na rozporządzenie składnikami aktywów trwałych Instytutu polegające na</w:t>
      </w:r>
      <w:r>
        <w:rPr>
          <w:color w:val="000000"/>
          <w:u w:color="000000"/>
        </w:rPr>
        <w:t xml:space="preserve"> obciążeniu hipotekami pięciu nieruchomości będących w użytkowaniu wieczystym Instytutu i stanowiących własność Instytutu, położonych w Olsztynie, jako zabezpieczenie kredytu w wysokości 20 000 000 zł, jaki ma być udzielony Instytutowi na podstawie umowy k</w:t>
      </w:r>
      <w:r>
        <w:rPr>
          <w:color w:val="000000"/>
          <w:u w:color="000000"/>
        </w:rPr>
        <w:t>redytowej, którą Instytut zawrze z Bankiem Gospodarstwa Krajowego.</w:t>
      </w:r>
    </w:p>
    <w:p w14:paraId="5FB48EC1" w14:textId="77777777" w:rsidR="00A77B3E" w:rsidRDefault="003949E6">
      <w:pPr>
        <w:spacing w:before="120" w:after="120"/>
        <w:ind w:firstLine="227"/>
        <w:rPr>
          <w:color w:val="000000"/>
          <w:u w:color="000000"/>
        </w:rPr>
      </w:pPr>
      <w:r>
        <w:rPr>
          <w:color w:val="000000"/>
          <w:u w:color="000000"/>
        </w:rPr>
        <w:t>Kredyt ma być przeznaczony na realizację inwestycji Instytutu pn. „Budowa Centrum Badań Środowiska i Innowacyjnych Technologii Żywności dla Jakości Życia” polegającej na budowie nowej siedz</w:t>
      </w:r>
      <w:r>
        <w:rPr>
          <w:color w:val="000000"/>
          <w:u w:color="000000"/>
        </w:rPr>
        <w:t xml:space="preserve">iby Instytutu w bezpośrednim sąsiedztwie Olsztyńskiego Parku Naukowo -Technologicznego przy ul. </w:t>
      </w:r>
      <w:proofErr w:type="spellStart"/>
      <w:r>
        <w:rPr>
          <w:color w:val="000000"/>
          <w:u w:color="000000"/>
        </w:rPr>
        <w:t>Trylińskiego</w:t>
      </w:r>
      <w:proofErr w:type="spellEnd"/>
      <w:r>
        <w:rPr>
          <w:color w:val="000000"/>
          <w:u w:color="000000"/>
        </w:rPr>
        <w:t>, co pozwoli na ulokowanie w niej wszystkich operacji Instytutu obecnie prowadzonych w rozproszeniu, jak również przeniesienie do Olsztyna technolog</w:t>
      </w:r>
      <w:r>
        <w:rPr>
          <w:color w:val="000000"/>
          <w:u w:color="000000"/>
        </w:rPr>
        <w:t>ii badawczych zakładów Instytutu funkcjonujących obecnie w Białymstoku.</w:t>
      </w:r>
    </w:p>
    <w:p w14:paraId="5FB48EC2" w14:textId="77777777" w:rsidR="00A77B3E" w:rsidRDefault="003949E6">
      <w:pPr>
        <w:spacing w:before="120" w:after="120"/>
        <w:ind w:firstLine="227"/>
        <w:rPr>
          <w:color w:val="000000"/>
          <w:u w:color="000000"/>
        </w:rPr>
      </w:pPr>
      <w:r>
        <w:rPr>
          <w:color w:val="000000"/>
          <w:u w:color="000000"/>
        </w:rPr>
        <w:t>Prezydium PAN w Uchwale Nr 17/2020 z dnia 21 kwietnia 2020 r. wyraziło zgodę na takie rozporządzenie.</w:t>
      </w:r>
    </w:p>
    <w:p w14:paraId="5FB48EC3" w14:textId="77777777" w:rsidR="00A77B3E" w:rsidRDefault="003949E6">
      <w:pPr>
        <w:spacing w:before="120" w:after="120"/>
        <w:ind w:firstLine="227"/>
        <w:rPr>
          <w:color w:val="000000"/>
          <w:u w:color="000000"/>
        </w:rPr>
      </w:pPr>
      <w:r>
        <w:rPr>
          <w:color w:val="000000"/>
          <w:u w:color="000000"/>
        </w:rPr>
        <w:t>W kolejnym piśmie z dnia 4 listopada 2020 r. Instytut wystąpił o wyrażenie zgody p</w:t>
      </w:r>
      <w:r>
        <w:rPr>
          <w:color w:val="000000"/>
          <w:u w:color="000000"/>
        </w:rPr>
        <w:t>rzez Prezesa Polskiej Akademii Nauk i Prezydium Polskiej Akademii Nauk na rozporządzenie w/w składnikami aktywów trwałych Instytutu polegające na obciążeniu hipotekami nieruchomości będących w użytkowaniu wieczystym Instytutu i stanowiących własność Instyt</w:t>
      </w:r>
      <w:r>
        <w:rPr>
          <w:color w:val="000000"/>
          <w:u w:color="000000"/>
        </w:rPr>
        <w:t xml:space="preserve">utu, położonych w Olsztynie, wskazując, że należy zwiększyć kwotę zabezpieczenia hipoteką do kwoty 26 245 000 zł i w związku z tym obciążona hipoteką ma być dodatkowo nieruchomość położona w Olsztynie przy ul. </w:t>
      </w:r>
      <w:proofErr w:type="spellStart"/>
      <w:r>
        <w:rPr>
          <w:color w:val="000000"/>
          <w:u w:color="000000"/>
        </w:rPr>
        <w:t>Trylińskiego</w:t>
      </w:r>
      <w:proofErr w:type="spellEnd"/>
      <w:r>
        <w:rPr>
          <w:color w:val="000000"/>
          <w:u w:color="000000"/>
        </w:rPr>
        <w:t>.</w:t>
      </w:r>
    </w:p>
    <w:p w14:paraId="5FB48EC4" w14:textId="77777777" w:rsidR="00A77B3E" w:rsidRDefault="003949E6">
      <w:pPr>
        <w:spacing w:before="120" w:after="120"/>
        <w:ind w:firstLine="227"/>
        <w:rPr>
          <w:color w:val="000000"/>
          <w:u w:color="000000"/>
        </w:rPr>
      </w:pPr>
      <w:r>
        <w:rPr>
          <w:color w:val="000000"/>
          <w:u w:color="000000"/>
        </w:rPr>
        <w:t>Prezydium PAN w Uchwale Nr 57/20</w:t>
      </w:r>
      <w:r>
        <w:rPr>
          <w:color w:val="000000"/>
          <w:u w:color="000000"/>
        </w:rPr>
        <w:t>20 z dnia 17 listopada 2020 r. wyraziło zgodę na takie rozporządzenie i jednocześnie uchyliło powołaną wyżej Uchwałę Prezydium PAN nr 17/2020 z dnia 21 kwietnia 2020 r.</w:t>
      </w:r>
    </w:p>
    <w:p w14:paraId="5FB48EC5" w14:textId="77777777" w:rsidR="00A77B3E" w:rsidRDefault="003949E6">
      <w:pPr>
        <w:spacing w:before="120" w:after="120"/>
        <w:ind w:firstLine="227"/>
        <w:rPr>
          <w:color w:val="000000"/>
          <w:u w:color="000000"/>
        </w:rPr>
      </w:pPr>
      <w:r>
        <w:rPr>
          <w:color w:val="000000"/>
          <w:u w:color="000000"/>
        </w:rPr>
        <w:t>W kolejnym piśmie z dnia 18 września 2023 r. Instytut wystąpił o wyrażenie zgody na roz</w:t>
      </w:r>
      <w:r>
        <w:rPr>
          <w:color w:val="000000"/>
          <w:u w:color="000000"/>
        </w:rPr>
        <w:t>porządzenie w/w składnikami aktywów trwałych Instytutu polegające na obciążeniu łączną hipoteką nieruchomości w użytkowaniu wieczystym Instytutu i stanowiących własność Instytutu, położonych w Olsztynie wskazując, że należy zwiększyć kwotę zabezpieczenia h</w:t>
      </w:r>
      <w:r>
        <w:rPr>
          <w:color w:val="000000"/>
          <w:u w:color="000000"/>
        </w:rPr>
        <w:t>ipoteką do kwoty 42 550 136,84 zł. Wartość rynkowa obciążanej nieruchomości przy założeniu ukończenia inwestycji wynosi 65 713 000 zł, natomiast wartość przedmiotowych nieruchomości. według stanu obecnego wynosi 55 808 000 zł.</w:t>
      </w:r>
    </w:p>
    <w:p w14:paraId="5FB48EC6" w14:textId="77777777" w:rsidR="00A77B3E" w:rsidRDefault="003949E6">
      <w:pPr>
        <w:spacing w:before="120" w:after="120"/>
        <w:ind w:firstLine="227"/>
        <w:rPr>
          <w:color w:val="000000"/>
          <w:u w:color="000000"/>
        </w:rPr>
      </w:pPr>
      <w:r>
        <w:rPr>
          <w:color w:val="000000"/>
          <w:u w:color="000000"/>
        </w:rPr>
        <w:t>W kolejnym piśmie z dnia 6 pa</w:t>
      </w:r>
      <w:r>
        <w:rPr>
          <w:color w:val="000000"/>
          <w:u w:color="000000"/>
        </w:rPr>
        <w:t>ździernika 2023 r. Instytut zmodyfikował wniosek wskazując, że należy zwiększyć kwotę zabezpieczenia hipoteką do kwoty 48 502 698,19 zł.</w:t>
      </w:r>
    </w:p>
    <w:p w14:paraId="5FB48EC7" w14:textId="77777777" w:rsidR="00A77B3E" w:rsidRDefault="003949E6">
      <w:pPr>
        <w:spacing w:before="120" w:after="120"/>
        <w:ind w:firstLine="227"/>
        <w:rPr>
          <w:color w:val="000000"/>
          <w:u w:color="000000"/>
        </w:rPr>
      </w:pPr>
      <w:r>
        <w:rPr>
          <w:color w:val="000000"/>
          <w:u w:color="000000"/>
        </w:rPr>
        <w:t>Z wyjaśnień Instytutu wynika, że kredyt ma być przeznaczony na waloryzację wynagrodzenia Generalnego Wykonawcy inwestyc</w:t>
      </w:r>
      <w:r>
        <w:rPr>
          <w:color w:val="000000"/>
          <w:u w:color="000000"/>
        </w:rPr>
        <w:t xml:space="preserve">ji Instytutu pn. „Budowa Centrum Badań Środowiska i Innowacyjnych Technologii Żywności dla Jakości Życia” polegającej na budowie nowej siedziby Instytutu w bezpośrednim sąsiedztwie Olsztyńskiego Parku Naukowo-Technologicznego przy ul. </w:t>
      </w:r>
      <w:proofErr w:type="spellStart"/>
      <w:r>
        <w:rPr>
          <w:color w:val="000000"/>
          <w:u w:color="000000"/>
        </w:rPr>
        <w:t>Trylińskiego</w:t>
      </w:r>
      <w:proofErr w:type="spellEnd"/>
      <w:r>
        <w:rPr>
          <w:color w:val="000000"/>
          <w:u w:color="000000"/>
        </w:rPr>
        <w:t>, która p</w:t>
      </w:r>
      <w:r>
        <w:rPr>
          <w:color w:val="000000"/>
          <w:u w:color="000000"/>
        </w:rPr>
        <w:t xml:space="preserve">ozwoli na ulokowanie w niej wszystkich operacji Instytutu aktualnie prowadzonych w rozproszeniu. Obecnie Instytut działa w dwóch, oddalonych od siebie lokalizacjach na terenie miasta Olsztyna oraz prowadzi badania z obszaru medycyny w swoim zakładzie przy </w:t>
      </w:r>
      <w:r>
        <w:rPr>
          <w:color w:val="000000"/>
          <w:u w:color="000000"/>
        </w:rPr>
        <w:t>Uniwersytecie Medycznym w Białymstoku oraz w zakładzie ulokowanym w Białostockim Parku Naukowo-Technologicznym.</w:t>
      </w:r>
    </w:p>
    <w:p w14:paraId="5FB48EC8" w14:textId="77777777" w:rsidR="00A77B3E" w:rsidRDefault="003949E6">
      <w:pPr>
        <w:spacing w:before="120" w:after="120"/>
        <w:ind w:firstLine="227"/>
        <w:rPr>
          <w:color w:val="000000"/>
          <w:u w:color="000000"/>
        </w:rPr>
      </w:pPr>
      <w:r>
        <w:rPr>
          <w:color w:val="000000"/>
          <w:u w:color="000000"/>
        </w:rPr>
        <w:t>Ponieważ integracja lokalowa Instytutu jest kluczowym warunkiem dalszego rozwoju, zdefiniowane następujące potrzeby uzasadniając realizację proj</w:t>
      </w:r>
      <w:r>
        <w:rPr>
          <w:color w:val="000000"/>
          <w:u w:color="000000"/>
        </w:rPr>
        <w:t>ektu:</w:t>
      </w:r>
    </w:p>
    <w:p w14:paraId="5FB48EC9" w14:textId="77777777" w:rsidR="00A77B3E" w:rsidRDefault="003949E6">
      <w:pPr>
        <w:spacing w:before="120" w:after="120"/>
        <w:ind w:firstLine="227"/>
        <w:rPr>
          <w:color w:val="000000"/>
          <w:u w:color="000000"/>
        </w:rPr>
      </w:pPr>
      <w:r>
        <w:rPr>
          <w:color w:val="000000"/>
          <w:u w:color="000000"/>
        </w:rPr>
        <w:lastRenderedPageBreak/>
        <w:t>- rozbicie lokalowo-sprzętowe Instytutu;</w:t>
      </w:r>
    </w:p>
    <w:p w14:paraId="5FB48ECA" w14:textId="77777777" w:rsidR="00A77B3E" w:rsidRDefault="003949E6">
      <w:pPr>
        <w:spacing w:before="120" w:after="120"/>
        <w:ind w:firstLine="227"/>
        <w:rPr>
          <w:color w:val="000000"/>
          <w:u w:color="000000"/>
        </w:rPr>
      </w:pPr>
      <w:r>
        <w:rPr>
          <w:color w:val="000000"/>
          <w:u w:color="000000"/>
        </w:rPr>
        <w:t>- ograniczony dostęp zasobów Instytutu przez partnerów ze strefy biznesu;</w:t>
      </w:r>
    </w:p>
    <w:p w14:paraId="5FB48ECB" w14:textId="77777777" w:rsidR="00A77B3E" w:rsidRDefault="003949E6">
      <w:pPr>
        <w:spacing w:before="120" w:after="120"/>
        <w:ind w:firstLine="227"/>
        <w:rPr>
          <w:color w:val="000000"/>
          <w:u w:color="000000"/>
        </w:rPr>
      </w:pPr>
      <w:r>
        <w:rPr>
          <w:color w:val="000000"/>
          <w:u w:color="000000"/>
        </w:rPr>
        <w:t>- brak możliwości rozbudowy i tworzenia nowych laboratoriów specjalistycznych;</w:t>
      </w:r>
    </w:p>
    <w:p w14:paraId="5FB48ECC" w14:textId="77777777" w:rsidR="00A77B3E" w:rsidRDefault="003949E6">
      <w:pPr>
        <w:spacing w:before="120" w:after="120"/>
        <w:ind w:firstLine="227"/>
        <w:rPr>
          <w:color w:val="000000"/>
          <w:u w:color="000000"/>
        </w:rPr>
      </w:pPr>
      <w:r>
        <w:rPr>
          <w:color w:val="000000"/>
          <w:u w:color="000000"/>
        </w:rPr>
        <w:t xml:space="preserve">- brak odpowiednich warunków do pełnego </w:t>
      </w:r>
      <w:r>
        <w:rPr>
          <w:color w:val="000000"/>
          <w:u w:color="000000"/>
        </w:rPr>
        <w:t>zaangażowania potencjału Instytutu w innowacyjne rozwiązania na rzecz rozwoju gospodarczego regionu.</w:t>
      </w:r>
    </w:p>
    <w:p w14:paraId="5FB48ECD" w14:textId="77777777" w:rsidR="00A77B3E" w:rsidRDefault="003949E6">
      <w:pPr>
        <w:spacing w:before="120" w:after="120"/>
        <w:ind w:firstLine="227"/>
        <w:rPr>
          <w:color w:val="000000"/>
          <w:u w:color="000000"/>
        </w:rPr>
      </w:pPr>
      <w:r>
        <w:rPr>
          <w:color w:val="000000"/>
          <w:u w:color="000000"/>
        </w:rPr>
        <w:t xml:space="preserve">Inwestycja pozwoli na ustabilizowanie 35-letniej działalności na rzecz tworzenia nowoczesnej bazy naukowo-badawczej Instytutu. Sąsiedztwo OPN-T daje także </w:t>
      </w:r>
      <w:r>
        <w:rPr>
          <w:color w:val="000000"/>
          <w:u w:color="000000"/>
        </w:rPr>
        <w:t>podstawę do efektywnej współpracy z Instytutem na rzecz gospodarki regionu.</w:t>
      </w:r>
    </w:p>
    <w:p w14:paraId="5FB48ECE" w14:textId="77777777" w:rsidR="00A77B3E" w:rsidRDefault="003949E6">
      <w:pPr>
        <w:spacing w:before="120" w:after="120"/>
        <w:ind w:firstLine="227"/>
        <w:rPr>
          <w:color w:val="000000"/>
          <w:u w:color="000000"/>
        </w:rPr>
      </w:pPr>
      <w:r>
        <w:rPr>
          <w:color w:val="000000"/>
          <w:u w:color="000000"/>
        </w:rPr>
        <w:t>Instytut z powodzeniem aplikuje o środki z programów ramowych UE jest członkiem wspólnoty wiedzy i innowacji KIC EIT-Food, zdobywa środki z kolejnych programów ramowych UE-7 Progra</w:t>
      </w:r>
      <w:r>
        <w:rPr>
          <w:color w:val="000000"/>
          <w:u w:color="000000"/>
        </w:rPr>
        <w:t>mu Ramowego, Horyzont 2020, Horyzont Europa. Za osiągnięcia na tym polu, jako jeden z pięciu instytutów PAN był nominowany do Kryształowej Brukseli.</w:t>
      </w:r>
    </w:p>
    <w:p w14:paraId="5FB48ECF" w14:textId="77777777" w:rsidR="00A77B3E" w:rsidRDefault="003949E6">
      <w:pPr>
        <w:spacing w:before="120" w:after="120"/>
        <w:ind w:firstLine="227"/>
        <w:rPr>
          <w:color w:val="000000"/>
          <w:u w:color="000000"/>
        </w:rPr>
      </w:pPr>
      <w:r>
        <w:rPr>
          <w:color w:val="000000"/>
          <w:u w:color="000000"/>
        </w:rPr>
        <w:t>Spodziewane rezultaty po przeniesieniu Instytutu do nowej siedziby to:</w:t>
      </w:r>
    </w:p>
    <w:p w14:paraId="5FB48ED0" w14:textId="77777777" w:rsidR="00A77B3E" w:rsidRDefault="003949E6">
      <w:pPr>
        <w:spacing w:before="120" w:after="120"/>
        <w:ind w:firstLine="227"/>
        <w:rPr>
          <w:color w:val="000000"/>
          <w:u w:color="000000"/>
        </w:rPr>
      </w:pPr>
      <w:r>
        <w:rPr>
          <w:color w:val="000000"/>
          <w:u w:color="000000"/>
        </w:rPr>
        <w:t>1) włączenie do Europejskiej Przestr</w:t>
      </w:r>
      <w:r>
        <w:rPr>
          <w:color w:val="000000"/>
          <w:u w:color="000000"/>
        </w:rPr>
        <w:t>zeni Badawczej OPN-T oraz stworzenie technicznych warunków do wszechstronnej współpracy z podobnymi ośrodkami w kraju i za granicą;</w:t>
      </w:r>
    </w:p>
    <w:p w14:paraId="5FB48ED1" w14:textId="77777777" w:rsidR="00A77B3E" w:rsidRDefault="003949E6">
      <w:pPr>
        <w:spacing w:before="120" w:after="120"/>
        <w:ind w:firstLine="227"/>
        <w:rPr>
          <w:color w:val="000000"/>
          <w:u w:color="000000"/>
        </w:rPr>
      </w:pPr>
      <w:r>
        <w:rPr>
          <w:color w:val="000000"/>
          <w:u w:color="000000"/>
        </w:rPr>
        <w:t>2) podniesienie kwalifikacji i kompetencji młodej generacji regionu – jego przyszłych liderów, poprzez udostępnienie nowocze</w:t>
      </w:r>
      <w:r>
        <w:rPr>
          <w:color w:val="000000"/>
          <w:u w:color="000000"/>
        </w:rPr>
        <w:t>snej infrastruktury i kapitału ludzkiego Instytutu w celu podnoszenia umiejętności i kwalifikacji kadr regionalnej gospodarki;</w:t>
      </w:r>
    </w:p>
    <w:p w14:paraId="5FB48ED2" w14:textId="77777777" w:rsidR="00A77B3E" w:rsidRDefault="003949E6">
      <w:pPr>
        <w:spacing w:before="120" w:after="120"/>
        <w:ind w:firstLine="227"/>
        <w:rPr>
          <w:color w:val="000000"/>
          <w:u w:color="000000"/>
        </w:rPr>
      </w:pPr>
      <w:r>
        <w:rPr>
          <w:color w:val="000000"/>
          <w:u w:color="000000"/>
        </w:rPr>
        <w:t>3) uzyskanie wysokiego unikatowego poziomu specjalizacji w naukach o życiu, które ze względu na charakter regionu są w zakresie j</w:t>
      </w:r>
      <w:r>
        <w:rPr>
          <w:color w:val="000000"/>
          <w:u w:color="000000"/>
        </w:rPr>
        <w:t>ego inteligentnych specjalizacji jak żywność wysokiej jakości, ekonomia wody, czy zdrowe życie i są motorem rozwoju regionu;</w:t>
      </w:r>
    </w:p>
    <w:p w14:paraId="5FB48ED3" w14:textId="77777777" w:rsidR="00A77B3E" w:rsidRDefault="003949E6">
      <w:pPr>
        <w:spacing w:before="120" w:after="120"/>
        <w:ind w:firstLine="227"/>
        <w:rPr>
          <w:color w:val="000000"/>
          <w:u w:color="000000"/>
        </w:rPr>
      </w:pPr>
      <w:r>
        <w:rPr>
          <w:color w:val="000000"/>
          <w:u w:color="000000"/>
        </w:rPr>
        <w:t>4) umożliwienie współpracy z mieszkańcami regionu warmińsko-mazurskiego z wykorzystaniem potencjału kadry i infrastruktury naukowej</w:t>
      </w:r>
      <w:r>
        <w:rPr>
          <w:color w:val="000000"/>
          <w:u w:color="000000"/>
        </w:rPr>
        <w:t xml:space="preserve"> poprzez upowszechnianie zdobyczy nauki i praktyczne ich wykorzystanie.</w:t>
      </w:r>
    </w:p>
    <w:p w14:paraId="5FB48ED4" w14:textId="77777777" w:rsidR="00A77B3E" w:rsidRDefault="003949E6">
      <w:pPr>
        <w:spacing w:before="120" w:after="120"/>
        <w:ind w:firstLine="227"/>
        <w:rPr>
          <w:color w:val="000000"/>
          <w:u w:color="000000"/>
        </w:rPr>
      </w:pPr>
      <w:r>
        <w:rPr>
          <w:color w:val="000000"/>
          <w:u w:color="000000"/>
        </w:rPr>
        <w:t>Niestety w obliczu niedających się przewidzieć okoliczności (Pandemia COVID-19, konflikt zbrojny w Ukrainie) nastąpił gwałtowny wzrost cen robót i materiałów budowlanych, który spowodo</w:t>
      </w:r>
      <w:r>
        <w:rPr>
          <w:color w:val="000000"/>
          <w:u w:color="000000"/>
        </w:rPr>
        <w:t>wał, że waloryzacja kontraktu stała się koniecznością. W konsekwencji tych czynników oraz w odpowiedzi na trudną sytuację Zamawiających i Wykonawców. Ustawodawca wprowadził stosowne rozwiązania legislacyjne umożliwiające waloryzację wartości umów zawartych</w:t>
      </w:r>
      <w:r>
        <w:rPr>
          <w:color w:val="000000"/>
          <w:u w:color="000000"/>
        </w:rPr>
        <w:t xml:space="preserve"> w trybach przewidzianych w ustawie Prawo Zamówień Publicznych.</w:t>
      </w:r>
    </w:p>
    <w:p w14:paraId="5FB48ED5" w14:textId="77777777" w:rsidR="00A77B3E" w:rsidRDefault="003949E6">
      <w:pPr>
        <w:spacing w:before="120" w:after="120"/>
        <w:ind w:firstLine="227"/>
        <w:rPr>
          <w:color w:val="000000"/>
          <w:u w:color="000000"/>
        </w:rPr>
      </w:pPr>
      <w:r>
        <w:rPr>
          <w:color w:val="000000"/>
          <w:u w:color="000000"/>
        </w:rPr>
        <w:t xml:space="preserve">Począwszy od sierpnia 2022 roku Instytut otrzymywał informację od Generalnego Wykonawcy robót budowlanych o możliwości powstania roszczenia oraz informacje, że niemożliwe staje się utrzymanie </w:t>
      </w:r>
      <w:r>
        <w:rPr>
          <w:color w:val="000000"/>
          <w:u w:color="000000"/>
        </w:rPr>
        <w:t xml:space="preserve">założeń cenowych oraz terminowych przyjętych przez Wykonawcę w ofercie. Instytut, mając powyższe na uwadze oraz mając świadomość znaczącego wzrostu kosztów oraz faktu, że w obszarze swojej statutowej działalności nie jest w stanie samodzielnie sfinansować </w:t>
      </w:r>
      <w:r>
        <w:rPr>
          <w:color w:val="000000"/>
          <w:u w:color="000000"/>
        </w:rPr>
        <w:t>waloryzacji, podjął szereg rozmów z władzami samorządowymi regionu oraz z samym Generalnym Wykonawcą robót budowlanych by uzgodnić finalnie kwotę waloryzacji oraz zapewnić finansowanie niezbędne do zakończenia budowy nowej siedziby, a tym samym zakończenia</w:t>
      </w:r>
      <w:r>
        <w:rPr>
          <w:color w:val="000000"/>
          <w:u w:color="000000"/>
        </w:rPr>
        <w:t xml:space="preserve"> projektu finansowego z RPO dla Warmii i Mazur i jego rozliczenia bez konieczności zwrotu środków. Ostatecznie w marcu 2023 r. po szeregu rozmów odnośnie waloryzacji wynagrodzenia ustalono kwotę 10 025 000,00 zł netto (12 330 750,00 zł brutto). Niestety z </w:t>
      </w:r>
      <w:r>
        <w:rPr>
          <w:color w:val="000000"/>
          <w:u w:color="000000"/>
        </w:rPr>
        <w:t>uwagi na kończącą się w tym roku perspektywę środków UE na lata 2014-2020 tutejszy Urząd Marszałkowski nie ma ani budżetowych ani prawnych możliwości dofinansowania naszej inwestycji.</w:t>
      </w:r>
    </w:p>
    <w:p w14:paraId="5FB48ED6" w14:textId="77777777" w:rsidR="00A77B3E" w:rsidRDefault="003949E6">
      <w:pPr>
        <w:spacing w:before="120" w:after="120"/>
        <w:ind w:firstLine="227"/>
        <w:rPr>
          <w:color w:val="000000"/>
          <w:u w:color="000000"/>
        </w:rPr>
      </w:pPr>
      <w:r>
        <w:rPr>
          <w:color w:val="000000"/>
          <w:u w:color="000000"/>
        </w:rPr>
        <w:t>Poszukując możliwości sfinansowania tej luki Instytut złożył w dniu 24.0</w:t>
      </w:r>
      <w:r>
        <w:rPr>
          <w:color w:val="000000"/>
          <w:u w:color="000000"/>
        </w:rPr>
        <w:t xml:space="preserve">5.2023 r. wniosek do </w:t>
      </w:r>
      <w:proofErr w:type="spellStart"/>
      <w:r>
        <w:rPr>
          <w:color w:val="000000"/>
          <w:u w:color="000000"/>
        </w:rPr>
        <w:t>MEiN</w:t>
      </w:r>
      <w:proofErr w:type="spellEnd"/>
      <w:r>
        <w:rPr>
          <w:color w:val="000000"/>
          <w:u w:color="000000"/>
        </w:rPr>
        <w:t xml:space="preserve"> w trybie szczególnym/losowym, który nadal pozostaje bez rozpatrzenia. W przypadku pozytywnej decyzji </w:t>
      </w:r>
      <w:proofErr w:type="spellStart"/>
      <w:r>
        <w:rPr>
          <w:color w:val="000000"/>
          <w:u w:color="000000"/>
        </w:rPr>
        <w:t>MEiN</w:t>
      </w:r>
      <w:proofErr w:type="spellEnd"/>
      <w:r>
        <w:rPr>
          <w:color w:val="000000"/>
          <w:u w:color="000000"/>
        </w:rPr>
        <w:t xml:space="preserve"> Instytut zrezygnowałby z zaciągania kredytu hipotecznego.</w:t>
      </w:r>
    </w:p>
    <w:p w14:paraId="5FB48ED7" w14:textId="77777777" w:rsidR="00A77B3E" w:rsidRDefault="003949E6">
      <w:pPr>
        <w:spacing w:before="120" w:after="120"/>
        <w:ind w:firstLine="227"/>
        <w:rPr>
          <w:color w:val="000000"/>
          <w:u w:color="000000"/>
        </w:rPr>
      </w:pPr>
      <w:r>
        <w:rPr>
          <w:color w:val="000000"/>
          <w:u w:color="000000"/>
        </w:rPr>
        <w:t>Z uwagi na zwiększenie kosztów inwestycji, a także fakt, że zabezp</w:t>
      </w:r>
      <w:r>
        <w:rPr>
          <w:color w:val="000000"/>
          <w:u w:color="000000"/>
        </w:rPr>
        <w:t xml:space="preserve">ieczenie będzie polegało na obciążeniu hipoteką umowną łączną sześciu nieruchomości wymienionych w uchwale </w:t>
      </w:r>
      <w:r>
        <w:rPr>
          <w:color w:val="000000"/>
          <w:u w:color="000000"/>
        </w:rPr>
        <w:lastRenderedPageBreak/>
        <w:t>Nr 57/2020 Prezydium z dnia 17 listopada 2020 r. o wartości przewyższającej wartość zabezpieczenia należy zmienić w/w uchwałę Nr 57/2020 z dnia 17 li</w:t>
      </w:r>
      <w:r>
        <w:rPr>
          <w:color w:val="000000"/>
          <w:u w:color="000000"/>
        </w:rPr>
        <w:t>stopada 2020 r. i należy wyrazić zgodę na rozporządzenie składnikami aktywów trwałych Instytutu polegające na zwiększeniu kwoty zabezpieczenia kredytu do kwoty 48 502 698,19 zł.</w:t>
      </w:r>
    </w:p>
    <w:p w14:paraId="5FB48ED8" w14:textId="77777777" w:rsidR="00A77B3E" w:rsidRDefault="003949E6">
      <w:pPr>
        <w:spacing w:before="120" w:after="120"/>
        <w:ind w:firstLine="227"/>
        <w:rPr>
          <w:color w:val="000000"/>
          <w:u w:color="000000"/>
        </w:rPr>
      </w:pPr>
      <w:r>
        <w:rPr>
          <w:color w:val="000000"/>
          <w:u w:color="000000"/>
        </w:rPr>
        <w:t>Zgodnie z art. 38 ust. 1 ustawy z dnia 16 grudnia 2016 r. o zasadach zarządzan</w:t>
      </w:r>
      <w:r>
        <w:rPr>
          <w:color w:val="000000"/>
          <w:u w:color="000000"/>
        </w:rPr>
        <w:t>ia mieniem państwowym (Dz. U. z 2020 r. poz. 735) jeżeli szacunkowa wartość rynkowa przedmiotu czynności prawnej przekracza kwotę 5 000 000 zł, jak w omawianym przypadku, czynność prawna wymaga uzyskania zgody Prokuratorii Generalnej Rzeczypospolitej Polsk</w:t>
      </w:r>
      <w:r>
        <w:rPr>
          <w:color w:val="000000"/>
          <w:u w:color="000000"/>
        </w:rPr>
        <w:t>iej.</w:t>
      </w:r>
    </w:p>
    <w:sectPr w:rsidR="00A77B3E">
      <w:endnotePr>
        <w:numFmt w:val="decimal"/>
      </w:endnotePr>
      <w:pgSz w:w="11906" w:h="16838"/>
      <w:pgMar w:top="1417" w:right="1020" w:bottom="992" w:left="10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48EE1" w14:textId="77777777" w:rsidR="003949E6" w:rsidRDefault="003949E6">
      <w:r>
        <w:separator/>
      </w:r>
    </w:p>
  </w:endnote>
  <w:endnote w:type="continuationSeparator" w:id="0">
    <w:p w14:paraId="5FB48EE3" w14:textId="77777777" w:rsidR="003949E6" w:rsidRDefault="003949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Public Sans">
    <w:panose1 w:val="00000000000000000000"/>
    <w:charset w:val="EE"/>
    <w:family w:val="auto"/>
    <w:pitch w:val="variable"/>
    <w:sig w:usb0="A00000FF" w:usb1="4000205B" w:usb2="00000000" w:usb3="00000000" w:csb0="00000193"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B48EDD" w14:textId="77777777" w:rsidR="003949E6" w:rsidRDefault="003949E6">
      <w:r>
        <w:separator/>
      </w:r>
    </w:p>
  </w:footnote>
  <w:footnote w:type="continuationSeparator" w:id="0">
    <w:p w14:paraId="5FB48EDF" w14:textId="77777777" w:rsidR="003949E6" w:rsidRDefault="003949E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3949E6"/>
    <w:rsid w:val="00A77B3E"/>
    <w:rsid w:val="00CA2A55"/>
    <w:rsid w:val="00D1109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B48EAA"/>
  <w15:docId w15:val="{FA056B8A-DA49-4B47-B9D2-D1372DA1B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rFonts w:ascii="Public Sans" w:eastAsia="Public Sans" w:hAnsi="Public Sans" w:cs="Public Sans"/>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3949E6"/>
    <w:pPr>
      <w:tabs>
        <w:tab w:val="center" w:pos="4536"/>
        <w:tab w:val="right" w:pos="9072"/>
      </w:tabs>
    </w:pPr>
  </w:style>
  <w:style w:type="character" w:customStyle="1" w:styleId="NagwekZnak">
    <w:name w:val="Nagłówek Znak"/>
    <w:basedOn w:val="Domylnaczcionkaakapitu"/>
    <w:link w:val="Nagwek"/>
    <w:rsid w:val="003949E6"/>
    <w:rPr>
      <w:rFonts w:ascii="Public Sans" w:eastAsia="Public Sans" w:hAnsi="Public Sans" w:cs="Public Sans"/>
      <w:sz w:val="22"/>
      <w:szCs w:val="24"/>
    </w:rPr>
  </w:style>
  <w:style w:type="paragraph" w:styleId="Stopka">
    <w:name w:val="footer"/>
    <w:basedOn w:val="Normalny"/>
    <w:link w:val="StopkaZnak"/>
    <w:rsid w:val="003949E6"/>
    <w:pPr>
      <w:tabs>
        <w:tab w:val="center" w:pos="4536"/>
        <w:tab w:val="right" w:pos="9072"/>
      </w:tabs>
    </w:pPr>
  </w:style>
  <w:style w:type="character" w:customStyle="1" w:styleId="StopkaZnak">
    <w:name w:val="Stopka Znak"/>
    <w:basedOn w:val="Domylnaczcionkaakapitu"/>
    <w:link w:val="Stopka"/>
    <w:rsid w:val="003949E6"/>
    <w:rPr>
      <w:rFonts w:ascii="Public Sans" w:eastAsia="Public Sans" w:hAnsi="Public Sans" w:cs="Public Sans"/>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1FFD6B8AA7DA644FB2475ABA1CC61F84" ma:contentTypeVersion="14" ma:contentTypeDescription="Utwórz nowy dokument." ma:contentTypeScope="" ma:versionID="0bceeed767db07681997af6649a098ce">
  <xsd:schema xmlns:xsd="http://www.w3.org/2001/XMLSchema" xmlns:xs="http://www.w3.org/2001/XMLSchema" xmlns:p="http://schemas.microsoft.com/office/2006/metadata/properties" xmlns:ns2="8f17d37f-b9e4-4881-9fa5-bf56b795a816" xmlns:ns3="8e66e47d-0211-45a8-bcdd-f58f20ab3a04" targetNamespace="http://schemas.microsoft.com/office/2006/metadata/properties" ma:root="true" ma:fieldsID="ba41dcc1decab6299b4751c93eb4efe7" ns2:_="" ns3:_="">
    <xsd:import namespace="8f17d37f-b9e4-4881-9fa5-bf56b795a816"/>
    <xsd:import namespace="8e66e47d-0211-45a8-bcdd-f58f20ab3a0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17d37f-b9e4-4881-9fa5-bf56b795a8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Tagi obrazów" ma:readOnly="false" ma:fieldId="{5cf76f15-5ced-4ddc-b409-7134ff3c332f}" ma:taxonomyMulti="true" ma:sspId="4c68d72a-88e3-4660-b75a-eb0b44bb3158"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66e47d-0211-45a8-bcdd-f58f20ab3a0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453aebf-d016-4a6e-bbf4-f72935212068}" ma:internalName="TaxCatchAll" ma:showField="CatchAllData" ma:web="8e66e47d-0211-45a8-bcdd-f58f20ab3a0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f17d37f-b9e4-4881-9fa5-bf56b795a816">
      <Terms xmlns="http://schemas.microsoft.com/office/infopath/2007/PartnerControls"/>
    </lcf76f155ced4ddcb4097134ff3c332f>
    <TaxCatchAll xmlns="8e66e47d-0211-45a8-bcdd-f58f20ab3a04" xsi:nil="true"/>
  </documentManagement>
</p:properties>
</file>

<file path=customXml/itemProps1.xml><?xml version="1.0" encoding="utf-8"?>
<ds:datastoreItem xmlns:ds="http://schemas.openxmlformats.org/officeDocument/2006/customXml" ds:itemID="{162058D6-6CC5-413A-BDFE-96D7FAE4E9EC}"/>
</file>

<file path=customXml/itemProps2.xml><?xml version="1.0" encoding="utf-8"?>
<ds:datastoreItem xmlns:ds="http://schemas.openxmlformats.org/officeDocument/2006/customXml" ds:itemID="{E160817B-67D4-4919-8057-1C14E3ACA81E}"/>
</file>

<file path=customXml/itemProps3.xml><?xml version="1.0" encoding="utf-8"?>
<ds:datastoreItem xmlns:ds="http://schemas.openxmlformats.org/officeDocument/2006/customXml" ds:itemID="{8E22D800-41E3-420A-AF67-339E8B897436}"/>
</file>

<file path=docProps/app.xml><?xml version="1.0" encoding="utf-8"?>
<Properties xmlns="http://schemas.openxmlformats.org/officeDocument/2006/extended-properties" xmlns:vt="http://schemas.openxmlformats.org/officeDocument/2006/docPropsVTypes">
  <Template>Normal</Template>
  <TotalTime>0</TotalTime>
  <Pages>4</Pages>
  <Words>1567</Words>
  <Characters>9405</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Prezydium Polskiej Akademii Nauk</Company>
  <LinksUpToDate>false</LinksUpToDate>
  <CharactersWithSpaces>10951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60/2023 z dnia 17 października 2023 r.</dc:title>
  <dc:subject>zmieniająca uchwałę w^sprawie wyrażenia zgody na rozporządzenie składnikami aktywów trwałych przez Instytut Rozrodu Zwierząt i^Badań Żywności Polskiej Akademii Nauk, polegające na obciążeniu hipotekami nieruchomości będących w^użytkowaniu wieczystym lub stanowiących własność Instytutu położonych w^Olsztynie przy ul. Tuwima 10, ul.^Bydgoskiej 5, 5A, 7^i^7A oraz^ul.^Trylińskiego</dc:subject>
  <dc:creator>ezieba</dc:creator>
  <cp:lastModifiedBy>Elżbieta Zięba-Andrzejuk</cp:lastModifiedBy>
  <cp:revision>2</cp:revision>
  <dcterms:created xsi:type="dcterms:W3CDTF">2023-10-16T12:35:00Z</dcterms:created>
  <dcterms:modified xsi:type="dcterms:W3CDTF">2023-10-16T10:36:00Z</dcterms:modified>
  <cp:category>Akt prawny</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0x0101001FFD6B8AA7DA644FB2475ABA1CC61F84</vt:lpwstr>
  </property>
</Properties>
</file>