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404" w:rsidRPr="008A5404" w:rsidRDefault="008A5404" w:rsidP="001B3E65">
      <w:pPr>
        <w:pStyle w:val="Mjnag1"/>
      </w:pPr>
      <w:r w:rsidRPr="008A5404">
        <w:t>Decyzja Nr 30</w:t>
      </w:r>
      <w:r w:rsidR="001B3E65">
        <w:br/>
      </w:r>
      <w:r w:rsidRPr="008A5404">
        <w:t>Prezesa Polskiej Akademii Nauk</w:t>
      </w:r>
      <w:r w:rsidR="001B3E65">
        <w:br/>
      </w:r>
      <w:r w:rsidRPr="008A5404">
        <w:t>z dnia 11 czerwca 2012r.</w:t>
      </w:r>
    </w:p>
    <w:p w:rsidR="008A5404" w:rsidRPr="008A5404" w:rsidRDefault="008A5404" w:rsidP="001B3E65">
      <w:pPr>
        <w:pStyle w:val="Mjnorm"/>
      </w:pPr>
      <w:r w:rsidRPr="008A5404">
        <w:t>w sprawie nadania statutu jednostce działającej pod nazwą Biuro Promocji Nauki PolSCA.</w:t>
      </w:r>
    </w:p>
    <w:p w:rsidR="008A5404" w:rsidRPr="008A5404" w:rsidRDefault="008A5404" w:rsidP="001B3E65">
      <w:pPr>
        <w:pStyle w:val="Mjnorm"/>
      </w:pPr>
      <w:r w:rsidRPr="008A5404">
        <w:t>Na podstawie art. 68 ust. 5 ustawy z dnia 30 kwietnia 2010 r. o Polskiej Akademii Nauk (Dz. U. Nr 96 poz. 619, Nr 84 z 2011r. poz. 455), postanawia się co następuje.</w:t>
      </w:r>
    </w:p>
    <w:p w:rsidR="008A5404" w:rsidRPr="008A5404" w:rsidRDefault="008A5404" w:rsidP="001B3E65">
      <w:pPr>
        <w:pStyle w:val="Lista1"/>
        <w:ind w:left="0" w:firstLine="0"/>
      </w:pPr>
      <w:r w:rsidRPr="008A5404">
        <w:t>Nadaje się statut jednostce działającej pod nazwą Biuro Promocji Nauki PolSCA, stanowiący załącznik do niniejszej decyzji.</w:t>
      </w:r>
    </w:p>
    <w:p w:rsidR="008A5404" w:rsidRPr="008A5404" w:rsidRDefault="008A5404" w:rsidP="001B3E65">
      <w:pPr>
        <w:pStyle w:val="Lista1"/>
        <w:ind w:left="0" w:firstLine="0"/>
      </w:pPr>
      <w:r w:rsidRPr="008A5404">
        <w:t>Traci moc załącznik do decyzji Nr 23 Prezesa Polskiej Akademii Nauk z dnia 31 marca 2006r. w sprawie podjęcia działalności przez Stację Naukową Polskiej Akademii Nauk w Belgii.</w:t>
      </w:r>
    </w:p>
    <w:p w:rsidR="008A5404" w:rsidRPr="008A5404" w:rsidRDefault="008A5404" w:rsidP="001B3E65">
      <w:pPr>
        <w:pStyle w:val="Lista1"/>
        <w:ind w:left="0" w:firstLine="0"/>
      </w:pPr>
      <w:r w:rsidRPr="008A5404">
        <w:t>Decyzja wchodzi w życie z dniem podpisania.</w:t>
      </w:r>
    </w:p>
    <w:p w:rsidR="008A5404" w:rsidRPr="008A5404" w:rsidRDefault="008A5404" w:rsidP="001B3E65">
      <w:pPr>
        <w:pStyle w:val="Mjnorm"/>
      </w:pPr>
      <w:r w:rsidRPr="008A5404">
        <w:t>Prezes</w:t>
      </w:r>
    </w:p>
    <w:p w:rsidR="008A5404" w:rsidRPr="008A5404" w:rsidRDefault="008A5404" w:rsidP="001B3E65">
      <w:pPr>
        <w:pStyle w:val="Mjnorm"/>
      </w:pPr>
      <w:r w:rsidRPr="008A5404">
        <w:t>Polskiej Akademii Nauk</w:t>
      </w:r>
    </w:p>
    <w:p w:rsidR="008A5404" w:rsidRDefault="008A5404" w:rsidP="00E36297">
      <w:pPr>
        <w:pStyle w:val="Mjnorm"/>
      </w:pPr>
      <w:r w:rsidRPr="008A5404">
        <w:t>Michał Kleiber</w:t>
      </w: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E36297" w:rsidRPr="00E36297" w:rsidRDefault="00E36297" w:rsidP="00E36297">
      <w:pPr>
        <w:pStyle w:val="Mjnorm"/>
      </w:pPr>
    </w:p>
    <w:p w:rsidR="008A5404" w:rsidRPr="008A5404" w:rsidRDefault="008A5404" w:rsidP="001B3E65">
      <w:pPr>
        <w:pStyle w:val="Mjnag1"/>
      </w:pPr>
      <w:r w:rsidRPr="008A5404">
        <w:lastRenderedPageBreak/>
        <w:t>Załącznik do Decyzji Nr 30</w:t>
      </w:r>
      <w:r w:rsidR="001B3E65">
        <w:br/>
      </w:r>
      <w:r w:rsidRPr="008A5404">
        <w:t xml:space="preserve">Prezesa Polskiej Akademii Nauk </w:t>
      </w:r>
      <w:r w:rsidR="001B3E65">
        <w:br/>
      </w:r>
      <w:r w:rsidRPr="008A5404">
        <w:t>z dnia 11 czerwca 2012r.</w:t>
      </w:r>
    </w:p>
    <w:p w:rsidR="008A5404" w:rsidRPr="008A5404" w:rsidRDefault="008A5404" w:rsidP="001B3E65">
      <w:pPr>
        <w:pStyle w:val="Mjnorm"/>
      </w:pPr>
      <w:r w:rsidRPr="008A5404">
        <w:t>Statut</w:t>
      </w:r>
    </w:p>
    <w:p w:rsidR="008A5404" w:rsidRPr="008A5404" w:rsidRDefault="008A5404" w:rsidP="001B3E65">
      <w:pPr>
        <w:pStyle w:val="Mjnorm"/>
      </w:pPr>
      <w:r w:rsidRPr="008A5404">
        <w:t>Biura Promocji Nauki PolSCA</w:t>
      </w:r>
    </w:p>
    <w:p w:rsidR="008A5404" w:rsidRPr="008A5404" w:rsidRDefault="008A5404" w:rsidP="001B3E65">
      <w:pPr>
        <w:pStyle w:val="Mjnag2"/>
      </w:pPr>
      <w:r w:rsidRPr="008A5404">
        <w:t>I. Postanowienia ogólne</w:t>
      </w:r>
    </w:p>
    <w:p w:rsidR="008A5404" w:rsidRPr="008A5404" w:rsidRDefault="008A5404" w:rsidP="001B3E65">
      <w:pPr>
        <w:pStyle w:val="Mjnag3"/>
      </w:pPr>
      <w:r w:rsidRPr="008A5404">
        <w:t>§ 1</w:t>
      </w:r>
    </w:p>
    <w:p w:rsidR="008A5404" w:rsidRPr="008A5404" w:rsidRDefault="008A5404" w:rsidP="001B3E65">
      <w:pPr>
        <w:pStyle w:val="Listam2"/>
        <w:numPr>
          <w:ilvl w:val="0"/>
          <w:numId w:val="15"/>
        </w:numPr>
      </w:pPr>
      <w:r w:rsidRPr="008A5404">
        <w:t>Biuro Promocji Nauki PolSCA, zwana dalej „Biurem” jest pomocniczą jednostką naukową Polskiej Akademii Nauk, zwanej dalej „ Akademią”.</w:t>
      </w:r>
    </w:p>
    <w:p w:rsidR="008A5404" w:rsidRPr="008A5404" w:rsidRDefault="008A5404" w:rsidP="001B3E65">
      <w:pPr>
        <w:pStyle w:val="Listam2"/>
        <w:numPr>
          <w:ilvl w:val="0"/>
          <w:numId w:val="15"/>
        </w:numPr>
      </w:pPr>
      <w:r w:rsidRPr="008A5404">
        <w:t>Anglojęzyczna nazwa Biura brzmi „Polish Science Contact Agency”.</w:t>
      </w:r>
    </w:p>
    <w:p w:rsidR="008A5404" w:rsidRPr="008A5404" w:rsidRDefault="008A5404" w:rsidP="001B3E65">
      <w:pPr>
        <w:pStyle w:val="Listam2"/>
        <w:numPr>
          <w:ilvl w:val="0"/>
          <w:numId w:val="15"/>
        </w:numPr>
      </w:pPr>
      <w:r w:rsidRPr="008A5404">
        <w:t>Siedzibą Biura jest miasto Bruksela.</w:t>
      </w:r>
    </w:p>
    <w:p w:rsidR="008A5404" w:rsidRPr="008A5404" w:rsidRDefault="008A5404" w:rsidP="001B3E65">
      <w:pPr>
        <w:pStyle w:val="Mjnag3"/>
      </w:pPr>
      <w:r w:rsidRPr="008A5404">
        <w:t>§ 2</w:t>
      </w:r>
    </w:p>
    <w:p w:rsidR="008A5404" w:rsidRPr="008A5404" w:rsidRDefault="008A5404" w:rsidP="001B3E65">
      <w:pPr>
        <w:pStyle w:val="Mjnorm"/>
      </w:pPr>
      <w:r w:rsidRPr="008A5404">
        <w:t>Biuro działa na podstawie:</w:t>
      </w:r>
    </w:p>
    <w:p w:rsidR="008A5404" w:rsidRPr="008A5404" w:rsidRDefault="008A5404" w:rsidP="001B3E65">
      <w:pPr>
        <w:pStyle w:val="Listam3"/>
      </w:pPr>
      <w:r w:rsidRPr="008A5404">
        <w:t>ustawy o Polskiej Akademii Nauk z dnia 30 kwietnia 2010 r. (Dz. U. Nr 96, poz. 619, z późn.zm.);</w:t>
      </w:r>
    </w:p>
    <w:p w:rsidR="008A5404" w:rsidRPr="008A5404" w:rsidRDefault="008A5404" w:rsidP="001B3E65">
      <w:pPr>
        <w:pStyle w:val="Listam3"/>
      </w:pPr>
      <w:r w:rsidRPr="008A5404">
        <w:t>statutu Polskiej Akademii Nauk uchwalonego Uchwałą Nr 8 Zgromadzenia Ogólnego Polskiej Akademii Nauk z dnia 24 listopada 2010 r. zatwierdzonego przez Prezesa Rady Ministrów;</w:t>
      </w:r>
    </w:p>
    <w:p w:rsidR="008A5404" w:rsidRPr="008A5404" w:rsidRDefault="008A5404" w:rsidP="001B3E65">
      <w:pPr>
        <w:pStyle w:val="Listam3"/>
      </w:pPr>
      <w:r w:rsidRPr="008A5404">
        <w:t>uchwały Nr 17 Prezydium Polskiej Akademii Nauk z dnia 14 listopada 2005 r. w sprawie utworzenia Stacji Naukowej PAN w Belgii;</w:t>
      </w:r>
    </w:p>
    <w:p w:rsidR="008A5404" w:rsidRPr="008A5404" w:rsidRDefault="008A5404" w:rsidP="001B3E65">
      <w:pPr>
        <w:pStyle w:val="Listam3"/>
      </w:pPr>
      <w:r w:rsidRPr="008A5404">
        <w:t>niniejszego Statutu.</w:t>
      </w:r>
    </w:p>
    <w:p w:rsidR="008A5404" w:rsidRPr="008A5404" w:rsidRDefault="008A5404" w:rsidP="001B3E65">
      <w:pPr>
        <w:pStyle w:val="Mjnag3"/>
      </w:pPr>
      <w:r w:rsidRPr="008A5404">
        <w:t>§ 3</w:t>
      </w:r>
    </w:p>
    <w:p w:rsidR="008A5404" w:rsidRPr="008A5404" w:rsidRDefault="008A5404" w:rsidP="001B3E65">
      <w:pPr>
        <w:pStyle w:val="Listam2"/>
      </w:pPr>
      <w:r w:rsidRPr="008A5404">
        <w:t>Bieżący nadzór nad Biurem sprawuje Prezes Akademii.</w:t>
      </w:r>
    </w:p>
    <w:p w:rsidR="008A5404" w:rsidRPr="008A5404" w:rsidRDefault="008A5404" w:rsidP="001B3E65">
      <w:pPr>
        <w:pStyle w:val="Listam2"/>
      </w:pPr>
      <w:r w:rsidRPr="008A5404">
        <w:t>Biuro używa pieczęci podłużnej z napisem:</w:t>
      </w:r>
    </w:p>
    <w:p w:rsidR="008A5404" w:rsidRPr="008A5404" w:rsidRDefault="008A5404" w:rsidP="001B3E65">
      <w:pPr>
        <w:jc w:val="center"/>
        <w:rPr>
          <w:lang w:val="en-US"/>
        </w:rPr>
      </w:pPr>
      <w:r w:rsidRPr="008A5404">
        <w:rPr>
          <w:lang w:val="en-US"/>
        </w:rPr>
        <w:t>POLISH ACADEMY OF SCIENCES</w:t>
      </w:r>
    </w:p>
    <w:p w:rsidR="008A5404" w:rsidRPr="008A5404" w:rsidRDefault="008A5404" w:rsidP="001B3E65">
      <w:pPr>
        <w:jc w:val="center"/>
        <w:rPr>
          <w:lang w:val="en-US"/>
        </w:rPr>
      </w:pPr>
      <w:r w:rsidRPr="008A5404">
        <w:rPr>
          <w:lang w:val="en-US"/>
        </w:rPr>
        <w:t>Polish Science Contact Agency</w:t>
      </w:r>
    </w:p>
    <w:p w:rsidR="008A5404" w:rsidRPr="008A5404" w:rsidRDefault="008A5404" w:rsidP="001B3E65">
      <w:pPr>
        <w:jc w:val="center"/>
        <w:rPr>
          <w:lang w:val="fr-FR"/>
        </w:rPr>
      </w:pPr>
      <w:r w:rsidRPr="008A5404">
        <w:rPr>
          <w:lang w:val="fr-FR"/>
        </w:rPr>
        <w:t>PolSCA</w:t>
      </w:r>
    </w:p>
    <w:p w:rsidR="008A5404" w:rsidRPr="008A5404" w:rsidRDefault="008A5404" w:rsidP="001B3E65">
      <w:pPr>
        <w:jc w:val="center"/>
        <w:rPr>
          <w:lang w:val="fr-FR"/>
        </w:rPr>
      </w:pPr>
      <w:r w:rsidRPr="008A5404">
        <w:rPr>
          <w:lang w:val="fr-FR"/>
        </w:rPr>
        <w:t>Rue du Trône 98, B-1050 Brussels</w:t>
      </w:r>
    </w:p>
    <w:p w:rsidR="008A5404" w:rsidRPr="008A5404" w:rsidRDefault="008A5404" w:rsidP="001B3E65">
      <w:pPr>
        <w:pStyle w:val="Listam2"/>
      </w:pPr>
      <w:r w:rsidRPr="008A5404">
        <w:t xml:space="preserve">W korespondencji z organami i instytucjami wymienionymi w art. 4 ustawy z dnia 7 października 1999 r. o języku polskim (Dz. U. z 2011 r. Nr 43, poz. 224, z </w:t>
      </w:r>
      <w:r w:rsidRPr="008A5404">
        <w:lastRenderedPageBreak/>
        <w:t>późn.zm.), oraz obywatelami polskimi i polskimi osobami prawnymi Biuro używa pieczęci podłużnej z napisem:</w:t>
      </w:r>
    </w:p>
    <w:p w:rsidR="008A5404" w:rsidRPr="008A5404" w:rsidRDefault="008A5404" w:rsidP="001B3E65">
      <w:pPr>
        <w:jc w:val="center"/>
      </w:pPr>
      <w:r w:rsidRPr="008A5404">
        <w:t>POLSKA AKADEMIA NAUK</w:t>
      </w:r>
    </w:p>
    <w:p w:rsidR="008A5404" w:rsidRPr="008A5404" w:rsidRDefault="008A5404" w:rsidP="001B3E65">
      <w:pPr>
        <w:jc w:val="center"/>
      </w:pPr>
      <w:r w:rsidRPr="008A5404">
        <w:t>Biuro Promocji Nauki „PolSCA”</w:t>
      </w:r>
    </w:p>
    <w:p w:rsidR="008A5404" w:rsidRPr="008A5404" w:rsidRDefault="008A5404" w:rsidP="001B3E65">
      <w:pPr>
        <w:jc w:val="center"/>
        <w:rPr>
          <w:lang w:val="fr-FR"/>
        </w:rPr>
      </w:pPr>
      <w:r w:rsidRPr="008A5404">
        <w:rPr>
          <w:lang w:val="fr-FR"/>
        </w:rPr>
        <w:t>Rue du Trône 98, B-1050 Bruksela, Belgia</w:t>
      </w:r>
    </w:p>
    <w:p w:rsidR="008A5404" w:rsidRPr="008A5404" w:rsidRDefault="008A5404" w:rsidP="001B3E65">
      <w:pPr>
        <w:jc w:val="center"/>
      </w:pPr>
      <w:r w:rsidRPr="008A5404">
        <w:t>Tel: +32 2 213-41-61 fax: +32 2 213-41-69</w:t>
      </w:r>
    </w:p>
    <w:p w:rsidR="008A5404" w:rsidRPr="008A5404" w:rsidRDefault="008A5404" w:rsidP="001B3E65">
      <w:pPr>
        <w:pStyle w:val="Mjnag2"/>
      </w:pPr>
      <w:r w:rsidRPr="008A5404">
        <w:t>II. Przedmiot działania Biura</w:t>
      </w:r>
    </w:p>
    <w:p w:rsidR="008A5404" w:rsidRPr="008A5404" w:rsidRDefault="008A5404" w:rsidP="001B3E65">
      <w:pPr>
        <w:pStyle w:val="Mjnag3"/>
      </w:pPr>
      <w:r w:rsidRPr="008A5404">
        <w:t>§ 4</w:t>
      </w:r>
    </w:p>
    <w:p w:rsidR="008A5404" w:rsidRPr="008A5404" w:rsidRDefault="008A5404" w:rsidP="001B3E65">
      <w:pPr>
        <w:pStyle w:val="Listam2"/>
        <w:numPr>
          <w:ilvl w:val="0"/>
          <w:numId w:val="16"/>
        </w:numPr>
      </w:pPr>
      <w:r w:rsidRPr="008A5404">
        <w:t>Biuro przyczynia się do rozwijania współpracy naukowej i naukowo-technicznej między Rzecząpospolitą Polską a środowiskiem europejskim. Biuro współpracuje w tym zakresie z Ambasadą Rzeczypospolitej Polskiej w Brukseli, ze Stałym Przedstawicielem Rzeczypospolitej Polskiej przy Unii Europejskiej w Brukseli oraz innymi odpowiednimi do zadań Biura instytucjami polskimi i europejskimi.</w:t>
      </w:r>
    </w:p>
    <w:p w:rsidR="008A5404" w:rsidRPr="008A5404" w:rsidRDefault="008A5404" w:rsidP="001B3E65">
      <w:pPr>
        <w:pStyle w:val="Listam2"/>
        <w:numPr>
          <w:ilvl w:val="0"/>
          <w:numId w:val="16"/>
        </w:numPr>
      </w:pPr>
      <w:r w:rsidRPr="008A5404">
        <w:t>Do zadań Biura należy:</w:t>
      </w:r>
    </w:p>
    <w:p w:rsidR="008A5404" w:rsidRPr="008A5404" w:rsidRDefault="008A5404" w:rsidP="001B3E65">
      <w:pPr>
        <w:pStyle w:val="Listam3"/>
        <w:numPr>
          <w:ilvl w:val="0"/>
          <w:numId w:val="17"/>
        </w:numPr>
      </w:pPr>
      <w:r w:rsidRPr="008A5404">
        <w:t>promocja i wsparcie eksperckie uczestnictwa polskich partnerów w Programach Ramowych Unii Europejskiej zwanych dalej „PR UE”, a w szczególności:</w:t>
      </w:r>
    </w:p>
    <w:p w:rsidR="008A5404" w:rsidRPr="001B3E65" w:rsidRDefault="008A5404" w:rsidP="001B3E65">
      <w:pPr>
        <w:pStyle w:val="Bezodstpw"/>
      </w:pPr>
      <w:r w:rsidRPr="001B3E65">
        <w:t>ogólna promocja krajowych jednostek i zespołów naukowych oraz współpracujących z nimi podmiotów w naukowych środowiskach Unii Europejskiej;</w:t>
      </w:r>
    </w:p>
    <w:p w:rsidR="008A5404" w:rsidRPr="001B3E65" w:rsidRDefault="008A5404" w:rsidP="001B3E65">
      <w:pPr>
        <w:pStyle w:val="Bezodstpw"/>
      </w:pPr>
      <w:r w:rsidRPr="001B3E65">
        <w:t>promocja najważniejszych projektów PR UE, w których strona polska jest koordynatorem lub istotnym uczestnikiem;</w:t>
      </w:r>
    </w:p>
    <w:p w:rsidR="008A5404" w:rsidRPr="001B3E65" w:rsidRDefault="008A5404" w:rsidP="001B3E65">
      <w:pPr>
        <w:pStyle w:val="Bezodstpw"/>
      </w:pPr>
      <w:r w:rsidRPr="001B3E65">
        <w:t>pomoc w poszukiwaniu partnerów dla indywidualnych wnioskodawców, wsparcie doradcze i eksperckie indywidualnych wnioskodawców na etapie inicjowania i formułowania wniosków, a także negocjowania kontraktów;</w:t>
      </w:r>
    </w:p>
    <w:p w:rsidR="008A5404" w:rsidRPr="001B3E65" w:rsidRDefault="008A5404" w:rsidP="001B3E65">
      <w:pPr>
        <w:pStyle w:val="Bezodstpw"/>
      </w:pPr>
      <w:r w:rsidRPr="001B3E65">
        <w:t>doradztwo na rzecz polskich uczestników PR UE, zapraszanych ekspertów oraz osób zaangażowanych w odpowiednich gremiach opiniujących i doradczych Komisji Europejskiej, zwanej dalej „KE” i Parlamentu Europejskiego zwanego dalej „PE”, a w szczególnych przypadkach - zastępstwo tych osób na podstawie upoważnienia;</w:t>
      </w:r>
    </w:p>
    <w:p w:rsidR="008A5404" w:rsidRPr="001B3E65" w:rsidRDefault="008A5404" w:rsidP="001B3E65">
      <w:pPr>
        <w:pStyle w:val="Bezodstpw"/>
      </w:pPr>
      <w:r w:rsidRPr="001B3E65">
        <w:lastRenderedPageBreak/>
        <w:t>współpraca z odpowiednimi przedstawicielstwami innych krajów - uczestników PR UE,</w:t>
      </w:r>
    </w:p>
    <w:p w:rsidR="008A5404" w:rsidRPr="001B3E65" w:rsidRDefault="008A5404" w:rsidP="001B3E65">
      <w:pPr>
        <w:pStyle w:val="Bezodstpw"/>
      </w:pPr>
      <w:r w:rsidRPr="001B3E65">
        <w:t>kontakty robocze z administracją KE i PE oraz z innymi gremiami lub ekspertami właściwymi do spraw PR UE;</w:t>
      </w:r>
    </w:p>
    <w:p w:rsidR="008A5404" w:rsidRPr="001B3E65" w:rsidRDefault="008A5404" w:rsidP="001B3E65">
      <w:pPr>
        <w:pStyle w:val="Bezodstpw"/>
      </w:pPr>
      <w:r w:rsidRPr="001B3E65">
        <w:t>udział w eksperckich gremiach doradczych KE lub proponowanie kandydatur do nich - w miarę możliwości Biura i potrzeb zgłaszanych ze strony KE lub ze strony polskiej;</w:t>
      </w:r>
    </w:p>
    <w:p w:rsidR="008A5404" w:rsidRPr="001B3E65" w:rsidRDefault="008A5404" w:rsidP="001B3E65">
      <w:pPr>
        <w:pStyle w:val="Bezodstpw"/>
      </w:pPr>
      <w:r w:rsidRPr="001B3E65">
        <w:t>monitorowanie przebiegu i wyników prac KE i PE, w tym prac administracji, gremiów opiniujących i doradczych oraz ekspertów zewnętrznych dotyczących planowania i realizacji PR;</w:t>
      </w:r>
    </w:p>
    <w:p w:rsidR="008A5404" w:rsidRPr="008A5404" w:rsidRDefault="008A5404" w:rsidP="001B3E65">
      <w:pPr>
        <w:pStyle w:val="Listam3"/>
      </w:pPr>
      <w:r w:rsidRPr="008A5404">
        <w:t>współpraca z Krajowym Punktem Kontaktowym Programów Badawczych Unii Europejskiej w Instytucie Podstawowych Problemów Techniki Polskiej Akademii Nauk na podstawie porozumienia;</w:t>
      </w:r>
    </w:p>
    <w:p w:rsidR="008A5404" w:rsidRPr="008A5404" w:rsidRDefault="008A5404" w:rsidP="001B3E65">
      <w:pPr>
        <w:pStyle w:val="Listam3"/>
      </w:pPr>
      <w:r w:rsidRPr="008A5404">
        <w:t>organizowanie spotkań, seminariów lub narad z udziałem wybitnych polskich uczonych oraz przedstawicieli międzynarodowych środowisk naukowych i instytucji europejskich.</w:t>
      </w:r>
    </w:p>
    <w:p w:rsidR="008A5404" w:rsidRPr="008A5404" w:rsidRDefault="008A5404" w:rsidP="001B3E65">
      <w:pPr>
        <w:pStyle w:val="Mjnag2"/>
      </w:pPr>
      <w:r w:rsidRPr="008A5404">
        <w:t>III. Organizacja Biura</w:t>
      </w:r>
    </w:p>
    <w:p w:rsidR="008A5404" w:rsidRPr="008A5404" w:rsidRDefault="008A5404" w:rsidP="001B3E65">
      <w:pPr>
        <w:pStyle w:val="Mjnag3"/>
      </w:pPr>
      <w:r w:rsidRPr="008A5404">
        <w:t>§ 5</w:t>
      </w:r>
    </w:p>
    <w:p w:rsidR="008A5404" w:rsidRPr="008A5404" w:rsidRDefault="008A5404" w:rsidP="001B3E65">
      <w:pPr>
        <w:pStyle w:val="Listam2"/>
        <w:numPr>
          <w:ilvl w:val="0"/>
          <w:numId w:val="19"/>
        </w:numPr>
      </w:pPr>
      <w:r w:rsidRPr="008A5404">
        <w:t>Dyrektor Biura kieruje działalnością Biura i składa w imieniu Akademii oświadczenia woli w granicach określonych w pełnomocnictwach udzielonych na podstawie art. 22 ust. 1 i 2 lub art. 24 ust. 1 i 2 ustawy z dnia 30 kwietnia 2010 r. o Polskiej Akademii Nauk (Dz. U. Nr 96, poz. 619, z późn. zm.).</w:t>
      </w:r>
    </w:p>
    <w:p w:rsidR="008A5404" w:rsidRPr="008A5404" w:rsidRDefault="008A5404" w:rsidP="001B3E65">
      <w:pPr>
        <w:pStyle w:val="Listam2"/>
        <w:numPr>
          <w:ilvl w:val="0"/>
          <w:numId w:val="19"/>
        </w:numPr>
      </w:pPr>
      <w:r w:rsidRPr="008A5404">
        <w:t>Dyrektor Biura jest powoływany przez Prezesa Akademii zgodnie z zasadami ustalonymi w regulaminie wydanym na podstawie art. 68 ust. 6 ustawy z dnia 30 kwietnia 2010 r. o Polskiej Akademii Nauk (Dz. U. Nr 96, poz. 619, z późn.zm.).</w:t>
      </w:r>
    </w:p>
    <w:p w:rsidR="008A5404" w:rsidRPr="008A5404" w:rsidRDefault="008A5404" w:rsidP="001B3E65">
      <w:pPr>
        <w:pStyle w:val="Listam2"/>
        <w:numPr>
          <w:ilvl w:val="0"/>
          <w:numId w:val="19"/>
        </w:numPr>
      </w:pPr>
      <w:r w:rsidRPr="008A5404">
        <w:t>Pozostali pracownicy Biura są zatrudniani przez Kanclerza Akademii na wniosek Dyrektora Biura.</w:t>
      </w:r>
    </w:p>
    <w:p w:rsidR="008A5404" w:rsidRPr="008A5404" w:rsidRDefault="008A5404" w:rsidP="001B3E65">
      <w:pPr>
        <w:pStyle w:val="Listam2"/>
        <w:numPr>
          <w:ilvl w:val="0"/>
          <w:numId w:val="19"/>
        </w:numPr>
      </w:pPr>
      <w:r w:rsidRPr="008A5404">
        <w:t>W przypadku nieobecności Dyrektora zastępuje go wskazany przez niego pracownik Biura.</w:t>
      </w:r>
    </w:p>
    <w:p w:rsidR="008A5404" w:rsidRPr="008A5404" w:rsidRDefault="008A5404" w:rsidP="001B3E65">
      <w:pPr>
        <w:pStyle w:val="Listam2"/>
        <w:numPr>
          <w:ilvl w:val="0"/>
          <w:numId w:val="19"/>
        </w:numPr>
      </w:pPr>
      <w:r w:rsidRPr="008A5404">
        <w:t xml:space="preserve">Składanie oświadczeń woli przez osobę zastępującą Dyrektora Biura wymaga pisemnego imiennego pełnomocnictwa udzielonego zgodnie z art. 22 ust. 1 i 2 </w:t>
      </w:r>
      <w:r w:rsidRPr="008A5404">
        <w:lastRenderedPageBreak/>
        <w:t>lub art. 24 ust. 1 i 2 ustawy z dnia 30 kwietnia 2010 r. o Polskiej Akademii Nauk (Dz. U. Nr 96, poz. 619, z późn.zm.).</w:t>
      </w:r>
    </w:p>
    <w:p w:rsidR="008A5404" w:rsidRPr="008A5404" w:rsidRDefault="008A5404" w:rsidP="008A5404">
      <w:pPr>
        <w:pStyle w:val="Listam2"/>
        <w:numPr>
          <w:ilvl w:val="0"/>
          <w:numId w:val="19"/>
        </w:numPr>
      </w:pPr>
      <w:r w:rsidRPr="008A5404">
        <w:t>Wewnętrzną organizację Biura określa schemat struktury organizacyjnej stanowiący załącznik do Statutu.</w:t>
      </w:r>
    </w:p>
    <w:p w:rsidR="008A5404" w:rsidRPr="008A5404" w:rsidRDefault="008A5404" w:rsidP="001B3E65">
      <w:pPr>
        <w:pStyle w:val="Mjnag3"/>
      </w:pPr>
      <w:r w:rsidRPr="008A5404">
        <w:t>§ 6</w:t>
      </w:r>
    </w:p>
    <w:p w:rsidR="008A5404" w:rsidRPr="008A5404" w:rsidRDefault="008A5404" w:rsidP="001B3E65">
      <w:pPr>
        <w:pStyle w:val="Mjnorm"/>
      </w:pPr>
      <w:r w:rsidRPr="008A5404">
        <w:t>Do zadań Dyrektora Biura należy w szczególności:</w:t>
      </w:r>
    </w:p>
    <w:p w:rsidR="008A5404" w:rsidRPr="008A5404" w:rsidRDefault="008A5404" w:rsidP="001B3E65">
      <w:pPr>
        <w:pStyle w:val="Listam3"/>
        <w:numPr>
          <w:ilvl w:val="0"/>
          <w:numId w:val="20"/>
        </w:numPr>
      </w:pPr>
      <w:r w:rsidRPr="008A5404">
        <w:t>opracowywanie projektów planów działalności Biura, w tym projektu planu zadaniowego i planu finansowego oraz nadzór nad ich realizacją;</w:t>
      </w:r>
    </w:p>
    <w:p w:rsidR="008A5404" w:rsidRPr="008A5404" w:rsidRDefault="008A5404" w:rsidP="001B3E65">
      <w:pPr>
        <w:pStyle w:val="Listam3"/>
        <w:numPr>
          <w:ilvl w:val="0"/>
          <w:numId w:val="20"/>
        </w:numPr>
      </w:pPr>
      <w:r w:rsidRPr="008A5404">
        <w:t>gospodarowanie środkami finansowymi i materialnymi w sposób celowy i oszczędny;</w:t>
      </w:r>
    </w:p>
    <w:p w:rsidR="008A5404" w:rsidRPr="008A5404" w:rsidRDefault="008A5404" w:rsidP="001B3E65">
      <w:pPr>
        <w:pStyle w:val="Listam3"/>
        <w:numPr>
          <w:ilvl w:val="0"/>
          <w:numId w:val="20"/>
        </w:numPr>
      </w:pPr>
      <w:r w:rsidRPr="008A5404">
        <w:t>organizacja pracy jednostek organizacyjnych Biura oraz nadzór nad prawidłowym wykonaniem powierzonych zadań;</w:t>
      </w:r>
    </w:p>
    <w:p w:rsidR="008A5404" w:rsidRPr="008A5404" w:rsidRDefault="008A5404" w:rsidP="001B3E65">
      <w:pPr>
        <w:pStyle w:val="Listam3"/>
        <w:numPr>
          <w:ilvl w:val="0"/>
          <w:numId w:val="20"/>
        </w:numPr>
      </w:pPr>
      <w:r w:rsidRPr="008A5404">
        <w:t>nadzór nad przestrzeganiem przez pracowników Biura porządku i dyscypliny pracy, przepisów bezpieczeństwa i higieny pracy oraz ochrony przeciwpożarowej;</w:t>
      </w:r>
    </w:p>
    <w:p w:rsidR="008A5404" w:rsidRPr="008A5404" w:rsidRDefault="008A5404" w:rsidP="001B3E65">
      <w:pPr>
        <w:pStyle w:val="Listam3"/>
        <w:numPr>
          <w:ilvl w:val="0"/>
          <w:numId w:val="20"/>
        </w:numPr>
      </w:pPr>
      <w:r w:rsidRPr="008A5404">
        <w:t>opracowywanie sprawozdań z działalności Biura.</w:t>
      </w:r>
    </w:p>
    <w:p w:rsidR="008A5404" w:rsidRPr="008A5404" w:rsidRDefault="008A5404" w:rsidP="001B3E65">
      <w:pPr>
        <w:pStyle w:val="Mjnag2"/>
      </w:pPr>
      <w:r w:rsidRPr="008A5404">
        <w:t>IV. Zasady funkcjonowania Biura</w:t>
      </w:r>
    </w:p>
    <w:p w:rsidR="008A5404" w:rsidRPr="008A5404" w:rsidRDefault="008A5404" w:rsidP="001B3E65">
      <w:pPr>
        <w:pStyle w:val="Mjnag3"/>
      </w:pPr>
      <w:r w:rsidRPr="008A5404">
        <w:t>§ 7</w:t>
      </w:r>
    </w:p>
    <w:p w:rsidR="008A5404" w:rsidRPr="008A5404" w:rsidRDefault="008A5404" w:rsidP="001B3E65">
      <w:pPr>
        <w:pStyle w:val="Mjnorm"/>
      </w:pPr>
      <w:r w:rsidRPr="008A5404">
        <w:t>Biuro zobowiązane jest do ochrony i zabezpieczenia mienia, w które zostało wyposażone.</w:t>
      </w:r>
    </w:p>
    <w:p w:rsidR="008A5404" w:rsidRPr="008A5404" w:rsidRDefault="008A5404" w:rsidP="001B3E65">
      <w:pPr>
        <w:pStyle w:val="Mjnag3"/>
      </w:pPr>
      <w:r w:rsidRPr="008A5404">
        <w:t>§ 8</w:t>
      </w:r>
    </w:p>
    <w:p w:rsidR="008A5404" w:rsidRPr="008A5404" w:rsidRDefault="008A5404" w:rsidP="001B3E65">
      <w:pPr>
        <w:pStyle w:val="Listam2"/>
        <w:numPr>
          <w:ilvl w:val="0"/>
          <w:numId w:val="21"/>
        </w:numPr>
      </w:pPr>
      <w:r w:rsidRPr="008A5404">
        <w:t>Biuro prowadzi gospodarkę finansową na podstawie zatwierdzonego przez Prezesa Akademii planu zadaniowego i skorelowanego z nim planu finansowego. Do czasu zatwierdzenia planu finansowego podstawę gospodarki finansowej stanowi projekt tego planu.</w:t>
      </w:r>
    </w:p>
    <w:p w:rsidR="008A5404" w:rsidRPr="008A5404" w:rsidRDefault="008A5404" w:rsidP="001B3E65">
      <w:pPr>
        <w:pStyle w:val="Listam2"/>
        <w:numPr>
          <w:ilvl w:val="0"/>
          <w:numId w:val="21"/>
        </w:numPr>
      </w:pPr>
      <w:r w:rsidRPr="008A5404">
        <w:t>Obsługa finansowo - księgowa Biura jest prowadzona na zasadach określonych przez Prezesa Akademii.</w:t>
      </w:r>
    </w:p>
    <w:p w:rsidR="008A5404" w:rsidRPr="008A5404" w:rsidRDefault="008A5404" w:rsidP="001B3E65">
      <w:pPr>
        <w:pStyle w:val="Listam2"/>
        <w:numPr>
          <w:ilvl w:val="0"/>
          <w:numId w:val="21"/>
        </w:numPr>
      </w:pPr>
      <w:r w:rsidRPr="008A5404">
        <w:t>Biuro dysponuje środkami finansowymi przydzielonymi przez Akademię, a także środkami finansowymi uzyskanymi w wyniku prowadzonej działalności.</w:t>
      </w:r>
    </w:p>
    <w:p w:rsidR="008A5404" w:rsidRPr="008A5404" w:rsidRDefault="008A5404" w:rsidP="001B3E65">
      <w:pPr>
        <w:pStyle w:val="Mjnag2"/>
      </w:pPr>
      <w:r w:rsidRPr="008A5404">
        <w:lastRenderedPageBreak/>
        <w:t>V. Postanowienia końcowe</w:t>
      </w:r>
    </w:p>
    <w:p w:rsidR="008A5404" w:rsidRPr="008A5404" w:rsidRDefault="008A5404" w:rsidP="001B3E65">
      <w:pPr>
        <w:pStyle w:val="Mjnag3"/>
      </w:pPr>
      <w:r w:rsidRPr="008A5404">
        <w:t>§ 9</w:t>
      </w:r>
    </w:p>
    <w:p w:rsidR="008A5404" w:rsidRPr="008A5404" w:rsidRDefault="008A5404" w:rsidP="00E36297">
      <w:pPr>
        <w:pStyle w:val="Mjnorm"/>
      </w:pPr>
      <w:r w:rsidRPr="008A5404">
        <w:t>Zmiana Statutu następuje w trybie przewidzianym dla jego nadania.</w:t>
      </w: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8A5404" w:rsidP="00E36297">
      <w:pPr>
        <w:pStyle w:val="Mjnorm"/>
      </w:pPr>
    </w:p>
    <w:p w:rsidR="008A5404" w:rsidRPr="008A5404" w:rsidRDefault="001B3E65" w:rsidP="001B3E65">
      <w:pPr>
        <w:pStyle w:val="Mjnag1"/>
      </w:pPr>
      <w:r w:rsidRPr="008A5404"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CCC28B" wp14:editId="1C504436">
                <wp:simplePos x="0" y="0"/>
                <wp:positionH relativeFrom="column">
                  <wp:posOffset>1944000</wp:posOffset>
                </wp:positionH>
                <wp:positionV relativeFrom="paragraph">
                  <wp:posOffset>1411200</wp:posOffset>
                </wp:positionV>
                <wp:extent cx="0" cy="453600"/>
                <wp:effectExtent l="0" t="0" r="38100" b="22860"/>
                <wp:wrapNone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3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6FF57D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05pt,111.1pt" to="153.05pt,1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" strokecolor="black [3213]" strokeweight=".5pt">
                <v:stroke joinstyle="miter"/>
              </v:line>
            </w:pict>
          </mc:Fallback>
        </mc:AlternateContent>
      </w:r>
      <w:r w:rsidR="008A5404" w:rsidRPr="008A5404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521D4D" wp14:editId="7C3AE76A">
                <wp:simplePos x="0" y="0"/>
                <wp:positionH relativeFrom="column">
                  <wp:posOffset>3832860</wp:posOffset>
                </wp:positionH>
                <wp:positionV relativeFrom="paragraph">
                  <wp:posOffset>1392555</wp:posOffset>
                </wp:positionV>
                <wp:extent cx="0" cy="426720"/>
                <wp:effectExtent l="0" t="0" r="38100" b="30480"/>
                <wp:wrapNone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267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DD15D0" id="Łącznik prosty 3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8pt,109.65pt" to="301.8pt,1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" strokecolor="black [3213]" strokeweight=".5pt">
                <v:stroke joinstyle="miter"/>
              </v:line>
            </w:pict>
          </mc:Fallback>
        </mc:AlternateContent>
      </w:r>
      <w:r w:rsidR="008A5404" w:rsidRPr="008A5404">
        <w:t>Załącznik do Statutu nadanego Decyzją Nr 30 Prezesa Polskiej Akademii Nauk z dnia 11 czerwca 2012 r.</w:t>
      </w:r>
      <w:r w:rsidR="008A5404" w:rsidRPr="008A5404">
        <w:drawing>
          <wp:inline distT="0" distB="0" distL="0" distR="0" wp14:anchorId="4E558CE1" wp14:editId="430A7598">
            <wp:extent cx="5486400" cy="3749040"/>
            <wp:effectExtent l="0" t="0" r="0" b="0"/>
            <wp:docPr id="1" name="Diagram 1" descr="Diagram prezentujący komórki organizacyjne stacji naukowej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B60D98" w:rsidRDefault="00E36297">
      <w:bookmarkStart w:id="0" w:name="_GoBack"/>
      <w:bookmarkEnd w:id="0"/>
    </w:p>
    <w:sectPr w:rsidR="00B60D98">
      <w:pgSz w:w="11520" w:h="1648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61987"/>
    <w:multiLevelType w:val="hybridMultilevel"/>
    <w:tmpl w:val="2EFAB468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12310F08"/>
    <w:multiLevelType w:val="hybridMultilevel"/>
    <w:tmpl w:val="107A68DE"/>
    <w:lvl w:ilvl="0" w:tplc="D9AE851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2013FD"/>
    <w:multiLevelType w:val="hybridMultilevel"/>
    <w:tmpl w:val="1B40D6BA"/>
    <w:lvl w:ilvl="0" w:tplc="751AE9E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07C64"/>
    <w:multiLevelType w:val="hybridMultilevel"/>
    <w:tmpl w:val="CE284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E2795"/>
    <w:multiLevelType w:val="hybridMultilevel"/>
    <w:tmpl w:val="D8B88EDC"/>
    <w:lvl w:ilvl="0" w:tplc="1A547D8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A2BCA"/>
    <w:multiLevelType w:val="hybridMultilevel"/>
    <w:tmpl w:val="F6A483D8"/>
    <w:lvl w:ilvl="0" w:tplc="2B084490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9E3CF740">
      <w:start w:val="1"/>
      <w:numFmt w:val="decimal"/>
      <w:lvlText w:val="%2)"/>
      <w:lvlJc w:val="left"/>
      <w:pPr>
        <w:ind w:left="1070" w:hanging="36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6" w15:restartNumberingAfterBreak="0">
    <w:nsid w:val="296839FB"/>
    <w:multiLevelType w:val="hybridMultilevel"/>
    <w:tmpl w:val="B74A019E"/>
    <w:lvl w:ilvl="0" w:tplc="4314A07E">
      <w:start w:val="1"/>
      <w:numFmt w:val="decimal"/>
      <w:lvlText w:val="%1)"/>
      <w:lvlJc w:val="left"/>
      <w:pPr>
        <w:ind w:left="720" w:hanging="360"/>
      </w:pPr>
      <w:rPr>
        <w:rFonts w:ascii="Calibri" w:hAnsi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E0963"/>
    <w:multiLevelType w:val="hybridMultilevel"/>
    <w:tmpl w:val="7F72C20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346F4FC9"/>
    <w:multiLevelType w:val="hybridMultilevel"/>
    <w:tmpl w:val="03808916"/>
    <w:lvl w:ilvl="0" w:tplc="AF62E7D8">
      <w:start w:val="2"/>
      <w:numFmt w:val="decimal"/>
      <w:lvlText w:val="%1)"/>
      <w:lvlJc w:val="left"/>
      <w:pPr>
        <w:ind w:left="34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BA1960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CC5676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EE50D2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C60A2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18D87C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B2ADC0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349AE8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A84446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EE14F4"/>
    <w:multiLevelType w:val="hybridMultilevel"/>
    <w:tmpl w:val="0B7CF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EC7D2B"/>
    <w:multiLevelType w:val="hybridMultilevel"/>
    <w:tmpl w:val="BDDC5B70"/>
    <w:lvl w:ilvl="0" w:tplc="49083B88">
      <w:start w:val="1"/>
      <w:numFmt w:val="lowerLetter"/>
      <w:lvlText w:val="%1)"/>
      <w:lvlJc w:val="left"/>
      <w:pPr>
        <w:ind w:left="851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8CC4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6EE338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A2B1FC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2CF202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D06710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90B2A8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CCC08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B8960A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4453D60"/>
    <w:multiLevelType w:val="hybridMultilevel"/>
    <w:tmpl w:val="8182FC9A"/>
    <w:lvl w:ilvl="0" w:tplc="6D98F87E">
      <w:start w:val="1"/>
      <w:numFmt w:val="decimal"/>
      <w:pStyle w:val="Listam3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5A55C4"/>
    <w:multiLevelType w:val="hybridMultilevel"/>
    <w:tmpl w:val="BE0EA286"/>
    <w:lvl w:ilvl="0" w:tplc="0415000F">
      <w:start w:val="1"/>
      <w:numFmt w:val="decimal"/>
      <w:lvlText w:val="%1."/>
      <w:lvlJc w:val="left"/>
      <w:pPr>
        <w:ind w:left="340"/>
      </w:pPr>
      <w:rPr>
        <w:rFonts w:hint="default"/>
        <w:b w:val="0"/>
        <w:i w:val="0"/>
        <w:strike w:val="0"/>
        <w:dstrike w:val="0"/>
        <w:color w:val="auto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C4CEB8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094159C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2C6B04A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4807AC6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0903940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A52A60C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0963E0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44DA7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E0A1456"/>
    <w:multiLevelType w:val="hybridMultilevel"/>
    <w:tmpl w:val="92542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1"/>
  </w:num>
  <w:num w:numId="5">
    <w:abstractNumId w:val="13"/>
  </w:num>
  <w:num w:numId="6">
    <w:abstractNumId w:val="11"/>
  </w:num>
  <w:num w:numId="7">
    <w:abstractNumId w:val="8"/>
  </w:num>
  <w:num w:numId="8">
    <w:abstractNumId w:val="6"/>
  </w:num>
  <w:num w:numId="9">
    <w:abstractNumId w:val="7"/>
  </w:num>
  <w:num w:numId="10">
    <w:abstractNumId w:val="10"/>
  </w:num>
  <w:num w:numId="11">
    <w:abstractNumId w:val="5"/>
  </w:num>
  <w:num w:numId="12">
    <w:abstractNumId w:val="3"/>
  </w:num>
  <w:num w:numId="13">
    <w:abstractNumId w:val="0"/>
  </w:num>
  <w:num w:numId="14">
    <w:abstractNumId w:val="2"/>
  </w:num>
  <w:num w:numId="15">
    <w:abstractNumId w:val="14"/>
  </w:num>
  <w:num w:numId="16">
    <w:abstractNumId w:val="4"/>
    <w:lvlOverride w:ilvl="0">
      <w:startOverride w:val="1"/>
    </w:lvlOverride>
  </w:num>
  <w:num w:numId="17">
    <w:abstractNumId w:val="12"/>
    <w:lvlOverride w:ilvl="0">
      <w:startOverride w:val="1"/>
    </w:lvlOverride>
  </w:num>
  <w:num w:numId="18">
    <w:abstractNumId w:val="9"/>
  </w:num>
  <w:num w:numId="19">
    <w:abstractNumId w:val="4"/>
    <w:lvlOverride w:ilvl="0">
      <w:startOverride w:val="1"/>
    </w:lvlOverride>
  </w:num>
  <w:num w:numId="20">
    <w:abstractNumId w:val="12"/>
    <w:lvlOverride w:ilvl="0">
      <w:startOverride w:val="1"/>
    </w:lvlOverride>
  </w:num>
  <w:num w:numId="21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102714"/>
    <w:rsid w:val="001B3E65"/>
    <w:rsid w:val="00316FCA"/>
    <w:rsid w:val="004D3597"/>
    <w:rsid w:val="008A5404"/>
    <w:rsid w:val="00B25B41"/>
    <w:rsid w:val="00E36297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A0652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B25B41"/>
    <w:pPr>
      <w:numPr>
        <w:numId w:val="4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B25B41"/>
    <w:pPr>
      <w:numPr>
        <w:numId w:val="2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1B3E65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B25B41"/>
    <w:pPr>
      <w:spacing w:before="0"/>
      <w:ind w:left="284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B25B41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18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1B3E65"/>
    <w:pPr>
      <w:spacing w:before="0"/>
      <w:ind w:left="1021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E809410-02D1-467E-AC3A-CFFE777D61E5}" type="doc">
      <dgm:prSet loTypeId="urn:microsoft.com/office/officeart/2005/8/layout/default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6F9A8450-156A-4A5E-9D48-F4421A568A70}">
      <dgm:prSet phldrT="[Tekst]" custT="1"/>
      <dgm:spPr/>
      <dgm:t>
        <a:bodyPr/>
        <a:lstStyle/>
        <a:p>
          <a:r>
            <a:rPr lang="pl-PL" sz="1400"/>
            <a:t>Dyrektor Biura</a:t>
          </a:r>
        </a:p>
      </dgm:t>
    </dgm:pt>
    <dgm:pt modelId="{419E849A-A426-4E69-A533-111EC4280842}" type="parTrans" cxnId="{504D94F2-92AA-440F-B3F1-BDD771644E3F}">
      <dgm:prSet/>
      <dgm:spPr/>
      <dgm:t>
        <a:bodyPr/>
        <a:lstStyle/>
        <a:p>
          <a:endParaRPr lang="pl-PL"/>
        </a:p>
      </dgm:t>
    </dgm:pt>
    <dgm:pt modelId="{975FF1FE-62BC-4AB1-B48C-7492B01E7E4B}" type="sibTrans" cxnId="{504D94F2-92AA-440F-B3F1-BDD771644E3F}">
      <dgm:prSet/>
      <dgm:spPr/>
      <dgm:t>
        <a:bodyPr/>
        <a:lstStyle/>
        <a:p>
          <a:endParaRPr lang="pl-PL"/>
        </a:p>
      </dgm:t>
    </dgm:pt>
    <dgm:pt modelId="{A030545A-1828-450D-A0B4-A5F73E4C2B7D}">
      <dgm:prSet phldrT="[Tekst]" custT="1"/>
      <dgm:spPr/>
      <dgm:t>
        <a:bodyPr/>
        <a:lstStyle/>
        <a:p>
          <a:r>
            <a:rPr lang="pl-PL" sz="1400"/>
            <a:t>Zespół Merytoryczny</a:t>
          </a:r>
        </a:p>
      </dgm:t>
    </dgm:pt>
    <dgm:pt modelId="{677EC187-25A9-4BD4-A749-311719398BFF}" type="parTrans" cxnId="{A240E250-6A59-406D-9B6F-737ABE50FAA5}">
      <dgm:prSet/>
      <dgm:spPr/>
      <dgm:t>
        <a:bodyPr/>
        <a:lstStyle/>
        <a:p>
          <a:endParaRPr lang="pl-PL"/>
        </a:p>
      </dgm:t>
    </dgm:pt>
    <dgm:pt modelId="{A2E8D6DF-EB4D-4B7C-9F34-A642D86A67F8}" type="sibTrans" cxnId="{A240E250-6A59-406D-9B6F-737ABE50FAA5}">
      <dgm:prSet/>
      <dgm:spPr/>
      <dgm:t>
        <a:bodyPr/>
        <a:lstStyle/>
        <a:p>
          <a:endParaRPr lang="pl-PL"/>
        </a:p>
      </dgm:t>
    </dgm:pt>
    <dgm:pt modelId="{52503528-ADC0-4811-ACB9-0DB16AC85F52}">
      <dgm:prSet phldrT="[Tekst]" custT="1"/>
      <dgm:spPr/>
      <dgm:t>
        <a:bodyPr/>
        <a:lstStyle/>
        <a:p>
          <a:r>
            <a:rPr lang="pl-PL" sz="1400" baseline="0">
              <a:latin typeface="Calibri" panose="020F0502020204030204" pitchFamily="34" charset="0"/>
            </a:rPr>
            <a:t>Administracja              i Finanse</a:t>
          </a:r>
        </a:p>
      </dgm:t>
    </dgm:pt>
    <dgm:pt modelId="{BF866242-3D60-4E57-B4C2-76ADD408BD13}" type="parTrans" cxnId="{2E26AFD1-066A-4168-A157-9826551B0DE4}">
      <dgm:prSet/>
      <dgm:spPr/>
      <dgm:t>
        <a:bodyPr/>
        <a:lstStyle/>
        <a:p>
          <a:endParaRPr lang="pl-PL"/>
        </a:p>
      </dgm:t>
    </dgm:pt>
    <dgm:pt modelId="{93B62F15-0013-4996-BA44-4A4B36284A30}" type="sibTrans" cxnId="{2E26AFD1-066A-4168-A157-9826551B0DE4}">
      <dgm:prSet/>
      <dgm:spPr/>
      <dgm:t>
        <a:bodyPr/>
        <a:lstStyle/>
        <a:p>
          <a:endParaRPr lang="pl-PL"/>
        </a:p>
      </dgm:t>
    </dgm:pt>
    <dgm:pt modelId="{FC5BC4A4-3BA4-4095-8751-C32852BF60B4}" type="pres">
      <dgm:prSet presAssocID="{EE809410-02D1-467E-AC3A-CFFE777D61E5}" presName="diagram" presStyleCnt="0">
        <dgm:presLayoutVars>
          <dgm:dir/>
          <dgm:resizeHandles val="exact"/>
        </dgm:presLayoutVars>
      </dgm:prSet>
      <dgm:spPr/>
    </dgm:pt>
    <dgm:pt modelId="{597BDBCA-3A92-4E81-95FD-8F3157D0BC64}" type="pres">
      <dgm:prSet presAssocID="{6F9A8450-156A-4A5E-9D48-F4421A568A70}" presName="node" presStyleLbl="node1" presStyleIdx="0" presStyleCnt="3" custScaleX="65617" custScaleY="21872" custLinFactNeighborX="2192" custLinFactNeighborY="-23148">
        <dgm:presLayoutVars>
          <dgm:bulletEnabled val="1"/>
        </dgm:presLayoutVars>
      </dgm:prSet>
      <dgm:spPr/>
    </dgm:pt>
    <dgm:pt modelId="{295E1C67-2711-4B88-8690-F96803908496}" type="pres">
      <dgm:prSet presAssocID="{975FF1FE-62BC-4AB1-B48C-7492B01E7E4B}" presName="sibTrans" presStyleCnt="0"/>
      <dgm:spPr/>
    </dgm:pt>
    <dgm:pt modelId="{B219F3A1-043D-4783-9D79-39591F352D00}" type="pres">
      <dgm:prSet presAssocID="{A030545A-1828-450D-A0B4-A5F73E4C2B7D}" presName="node" presStyleLbl="node1" presStyleIdx="1" presStyleCnt="3" custScaleX="29528" custScaleY="21872" custLinFactNeighborX="39861" custLinFactNeighborY="-26620">
        <dgm:presLayoutVars>
          <dgm:bulletEnabled val="1"/>
        </dgm:presLayoutVars>
      </dgm:prSet>
      <dgm:spPr/>
    </dgm:pt>
    <dgm:pt modelId="{BBA8A446-4073-427B-ABFF-9FCDD3D8912A}" type="pres">
      <dgm:prSet presAssocID="{A2E8D6DF-EB4D-4B7C-9F34-A642D86A67F8}" presName="sibTrans" presStyleCnt="0"/>
      <dgm:spPr/>
    </dgm:pt>
    <dgm:pt modelId="{A2FEC0F5-DA5E-46F6-8C4A-09EAA2AC521D}" type="pres">
      <dgm:prSet presAssocID="{52503528-ADC0-4811-ACB9-0DB16AC85F52}" presName="node" presStyleLbl="node1" presStyleIdx="2" presStyleCnt="3" custScaleX="29528" custScaleY="21872" custLinFactNeighborX="-35278" custLinFactNeighborY="-26390">
        <dgm:presLayoutVars>
          <dgm:bulletEnabled val="1"/>
        </dgm:presLayoutVars>
      </dgm:prSet>
      <dgm:spPr/>
    </dgm:pt>
  </dgm:ptLst>
  <dgm:cxnLst>
    <dgm:cxn modelId="{D7C4CA25-1E38-4EF5-B2A0-3F7FABA738B5}" type="presOf" srcId="{A030545A-1828-450D-A0B4-A5F73E4C2B7D}" destId="{B219F3A1-043D-4783-9D79-39591F352D00}" srcOrd="0" destOrd="0" presId="urn:microsoft.com/office/officeart/2005/8/layout/default"/>
    <dgm:cxn modelId="{B772264D-1FB5-4907-873C-FE01874639BD}" type="presOf" srcId="{6F9A8450-156A-4A5E-9D48-F4421A568A70}" destId="{597BDBCA-3A92-4E81-95FD-8F3157D0BC64}" srcOrd="0" destOrd="0" presId="urn:microsoft.com/office/officeart/2005/8/layout/default"/>
    <dgm:cxn modelId="{A240E250-6A59-406D-9B6F-737ABE50FAA5}" srcId="{EE809410-02D1-467E-AC3A-CFFE777D61E5}" destId="{A030545A-1828-450D-A0B4-A5F73E4C2B7D}" srcOrd="1" destOrd="0" parTransId="{677EC187-25A9-4BD4-A749-311719398BFF}" sibTransId="{A2E8D6DF-EB4D-4B7C-9F34-A642D86A67F8}"/>
    <dgm:cxn modelId="{CCC12887-23F9-4944-AED0-EBC76CEF741C}" type="presOf" srcId="{52503528-ADC0-4811-ACB9-0DB16AC85F52}" destId="{A2FEC0F5-DA5E-46F6-8C4A-09EAA2AC521D}" srcOrd="0" destOrd="0" presId="urn:microsoft.com/office/officeart/2005/8/layout/default"/>
    <dgm:cxn modelId="{2E26AFD1-066A-4168-A157-9826551B0DE4}" srcId="{EE809410-02D1-467E-AC3A-CFFE777D61E5}" destId="{52503528-ADC0-4811-ACB9-0DB16AC85F52}" srcOrd="2" destOrd="0" parTransId="{BF866242-3D60-4E57-B4C2-76ADD408BD13}" sibTransId="{93B62F15-0013-4996-BA44-4A4B36284A30}"/>
    <dgm:cxn modelId="{02A2DBDC-8027-4881-8B6A-CD328B13746C}" type="presOf" srcId="{EE809410-02D1-467E-AC3A-CFFE777D61E5}" destId="{FC5BC4A4-3BA4-4095-8751-C32852BF60B4}" srcOrd="0" destOrd="0" presId="urn:microsoft.com/office/officeart/2005/8/layout/default"/>
    <dgm:cxn modelId="{504D94F2-92AA-440F-B3F1-BDD771644E3F}" srcId="{EE809410-02D1-467E-AC3A-CFFE777D61E5}" destId="{6F9A8450-156A-4A5E-9D48-F4421A568A70}" srcOrd="0" destOrd="0" parTransId="{419E849A-A426-4E69-A533-111EC4280842}" sibTransId="{975FF1FE-62BC-4AB1-B48C-7492B01E7E4B}"/>
    <dgm:cxn modelId="{24B01CC1-2545-4779-B686-3F9A51A0103C}" type="presParOf" srcId="{FC5BC4A4-3BA4-4095-8751-C32852BF60B4}" destId="{597BDBCA-3A92-4E81-95FD-8F3157D0BC64}" srcOrd="0" destOrd="0" presId="urn:microsoft.com/office/officeart/2005/8/layout/default"/>
    <dgm:cxn modelId="{F431A28F-B3A6-4219-9747-B92807E69491}" type="presParOf" srcId="{FC5BC4A4-3BA4-4095-8751-C32852BF60B4}" destId="{295E1C67-2711-4B88-8690-F96803908496}" srcOrd="1" destOrd="0" presId="urn:microsoft.com/office/officeart/2005/8/layout/default"/>
    <dgm:cxn modelId="{ED71F9FA-F967-4A2A-85D9-3A38360A8F42}" type="presParOf" srcId="{FC5BC4A4-3BA4-4095-8751-C32852BF60B4}" destId="{B219F3A1-043D-4783-9D79-39591F352D00}" srcOrd="2" destOrd="0" presId="urn:microsoft.com/office/officeart/2005/8/layout/default"/>
    <dgm:cxn modelId="{A68FEB4F-81B2-4839-BCFC-4E465EFB995E}" type="presParOf" srcId="{FC5BC4A4-3BA4-4095-8751-C32852BF60B4}" destId="{BBA8A446-4073-427B-ABFF-9FCDD3D8912A}" srcOrd="3" destOrd="0" presId="urn:microsoft.com/office/officeart/2005/8/layout/default"/>
    <dgm:cxn modelId="{2A002B40-44B6-438F-B643-B60C53D8663D}" type="presParOf" srcId="{FC5BC4A4-3BA4-4095-8751-C32852BF60B4}" destId="{A2FEC0F5-DA5E-46F6-8C4A-09EAA2AC521D}" srcOrd="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97BDBCA-3A92-4E81-95FD-8F3157D0BC64}">
      <dsp:nvSpPr>
        <dsp:cNvPr id="0" name=""/>
        <dsp:cNvSpPr/>
      </dsp:nvSpPr>
      <dsp:spPr>
        <a:xfrm>
          <a:off x="1063456" y="118213"/>
          <a:ext cx="3600011" cy="71999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/>
            <a:t>Dyrektor Biura</a:t>
          </a:r>
        </a:p>
      </dsp:txBody>
      <dsp:txXfrm>
        <a:off x="1063456" y="118213"/>
        <a:ext cx="3600011" cy="719991"/>
      </dsp:txXfrm>
    </dsp:sp>
    <dsp:sp modelId="{B219F3A1-043D-4783-9D79-39591F352D00}">
      <dsp:nvSpPr>
        <dsp:cNvPr id="0" name=""/>
        <dsp:cNvSpPr/>
      </dsp:nvSpPr>
      <dsp:spPr>
        <a:xfrm>
          <a:off x="3035789" y="1272552"/>
          <a:ext cx="1620024" cy="71999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/>
            <a:t>Zespół Merytoryczny</a:t>
          </a:r>
        </a:p>
      </dsp:txBody>
      <dsp:txXfrm>
        <a:off x="3035789" y="1272552"/>
        <a:ext cx="1620024" cy="719991"/>
      </dsp:txXfrm>
    </dsp:sp>
    <dsp:sp modelId="{A2FEC0F5-DA5E-46F6-8C4A-09EAA2AC521D}">
      <dsp:nvSpPr>
        <dsp:cNvPr id="0" name=""/>
        <dsp:cNvSpPr/>
      </dsp:nvSpPr>
      <dsp:spPr>
        <a:xfrm>
          <a:off x="1082027" y="1280123"/>
          <a:ext cx="1620024" cy="71999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 baseline="0">
              <a:latin typeface="Calibri" panose="020F0502020204030204" pitchFamily="34" charset="0"/>
            </a:rPr>
            <a:t>Administracja              i Finanse</a:t>
          </a:r>
        </a:p>
      </dsp:txBody>
      <dsp:txXfrm>
        <a:off x="1082027" y="1280123"/>
        <a:ext cx="1620024" cy="7199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984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SN Bruksela</dc:title>
  <dc:subject/>
  <dc:creator>Faustman Katarzyna</dc:creator>
  <cp:keywords/>
  <dc:description/>
  <cp:lastModifiedBy>Faustman Katarzyna</cp:lastModifiedBy>
  <cp:revision>2</cp:revision>
  <dcterms:created xsi:type="dcterms:W3CDTF">2021-03-04T13:41:00Z</dcterms:created>
  <dcterms:modified xsi:type="dcterms:W3CDTF">2021-03-04T13:54:00Z</dcterms:modified>
</cp:coreProperties>
</file>