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EF85E9" w14:textId="6A29E332" w:rsidR="005B0656" w:rsidRDefault="006B02B1" w:rsidP="00A94928">
      <w:pPr>
        <w:rPr>
          <w:rFonts w:asciiTheme="minorHAnsi" w:hAnsiTheme="minorHAnsi" w:cstheme="minorHAnsi"/>
        </w:rPr>
      </w:pPr>
      <w:r>
        <w:rPr>
          <w:rFonts w:asciiTheme="minorHAnsi" w:hAnsiTheme="minorHAnsi" w:cstheme="minorHAnsi"/>
        </w:rPr>
        <w:t xml:space="preserve">Tekst 1 </w:t>
      </w:r>
    </w:p>
    <w:p w14:paraId="1B76C57A" w14:textId="77777777" w:rsidR="006B02B1" w:rsidRDefault="006B02B1" w:rsidP="00A94928">
      <w:pPr>
        <w:rPr>
          <w:rFonts w:asciiTheme="minorHAnsi" w:hAnsiTheme="minorHAnsi" w:cstheme="minorHAnsi"/>
        </w:rPr>
      </w:pPr>
    </w:p>
    <w:p w14:paraId="677B51B6" w14:textId="7277123D" w:rsidR="00A94928" w:rsidRPr="00A94928" w:rsidRDefault="00A94928" w:rsidP="00A94928">
      <w:pPr>
        <w:rPr>
          <w:rFonts w:asciiTheme="minorHAnsi" w:hAnsiTheme="minorHAnsi" w:cstheme="minorHAnsi"/>
          <w:b/>
        </w:rPr>
      </w:pPr>
      <w:r w:rsidRPr="00A94928">
        <w:rPr>
          <w:rFonts w:asciiTheme="minorHAnsi" w:hAnsiTheme="minorHAnsi" w:cstheme="minorHAnsi"/>
          <w:b/>
        </w:rPr>
        <w:t xml:space="preserve">O bezpieczeństwo zasobu archiwalnego </w:t>
      </w:r>
    </w:p>
    <w:p w14:paraId="00FAA490" w14:textId="77777777" w:rsidR="00A94928" w:rsidRPr="00A94928" w:rsidRDefault="00A94928" w:rsidP="00A94928">
      <w:pPr>
        <w:rPr>
          <w:rFonts w:asciiTheme="minorHAnsi" w:hAnsiTheme="minorHAnsi" w:cstheme="minorHAnsi"/>
        </w:rPr>
      </w:pPr>
    </w:p>
    <w:p w14:paraId="2A87DBF1" w14:textId="77777777" w:rsidR="00A94928" w:rsidRPr="00A94928" w:rsidRDefault="00A94928" w:rsidP="00A94928">
      <w:pPr>
        <w:rPr>
          <w:rFonts w:asciiTheme="minorHAnsi" w:hAnsiTheme="minorHAnsi" w:cstheme="minorHAnsi"/>
        </w:rPr>
      </w:pPr>
      <w:r w:rsidRPr="00A94928">
        <w:rPr>
          <w:rFonts w:asciiTheme="minorHAnsi" w:hAnsiTheme="minorHAnsi" w:cstheme="minorHAnsi"/>
        </w:rPr>
        <w:t>„</w:t>
      </w:r>
      <w:r w:rsidRPr="00A94928">
        <w:rPr>
          <w:rFonts w:asciiTheme="minorHAnsi" w:hAnsiTheme="minorHAnsi" w:cstheme="minorHAnsi"/>
          <w:i/>
        </w:rPr>
        <w:t>Ludzie są ważniejsi od tych papierów, które są stare i może mają dwa tysiące lat, ale i tak zgniją i na nic nikomu nie są potrzebne</w:t>
      </w:r>
      <w:r w:rsidRPr="00A94928">
        <w:rPr>
          <w:rFonts w:asciiTheme="minorHAnsi" w:hAnsiTheme="minorHAnsi" w:cstheme="minorHAnsi"/>
        </w:rPr>
        <w:t xml:space="preserve">”. </w:t>
      </w:r>
    </w:p>
    <w:p w14:paraId="50F4BC06" w14:textId="77777777" w:rsidR="005B0656" w:rsidRDefault="005B0656" w:rsidP="00A94928">
      <w:pPr>
        <w:rPr>
          <w:rFonts w:asciiTheme="minorHAnsi" w:hAnsiTheme="minorHAnsi" w:cstheme="minorHAnsi"/>
        </w:rPr>
      </w:pPr>
    </w:p>
    <w:p w14:paraId="390D65CC" w14:textId="4E7A9D63" w:rsidR="00A94928" w:rsidRPr="00A94928" w:rsidRDefault="00A94928" w:rsidP="00A94928">
      <w:pPr>
        <w:rPr>
          <w:rFonts w:asciiTheme="minorHAnsi" w:hAnsiTheme="minorHAnsi" w:cstheme="minorHAnsi"/>
        </w:rPr>
      </w:pPr>
      <w:r w:rsidRPr="00A94928">
        <w:rPr>
          <w:rFonts w:asciiTheme="minorHAnsi" w:hAnsiTheme="minorHAnsi" w:cstheme="minorHAnsi"/>
        </w:rPr>
        <w:t xml:space="preserve">Z taką opinią spotkał się Piotr Bańkowski, archiwista i przypadkowy opiekun zbiorów biblioteczno-archiwalnych złożonych w warszawskim Forcie Sokolnickiego, w czasie powstania warszawskiego. Zdanie to prowokuje do pytania: na ile ważna jest ochrona dziedzictwa narodowego, zabezpieczenie świadectw tożsamości narodowej, w by  przekazać ją przyszłym pokoleniom? </w:t>
      </w:r>
    </w:p>
    <w:p w14:paraId="52071FC2" w14:textId="77777777" w:rsidR="00A94928" w:rsidRPr="00A94928" w:rsidRDefault="00A94928" w:rsidP="00A94928">
      <w:pPr>
        <w:rPr>
          <w:rFonts w:asciiTheme="minorHAnsi" w:hAnsiTheme="minorHAnsi" w:cstheme="minorHAnsi"/>
        </w:rPr>
      </w:pPr>
      <w:r w:rsidRPr="00A94928">
        <w:rPr>
          <w:rFonts w:asciiTheme="minorHAnsi" w:hAnsiTheme="minorHAnsi" w:cstheme="minorHAnsi"/>
        </w:rPr>
        <w:t xml:space="preserve">Archiwum Polskiej Akademii Nauk zostało powołane zostało na mocy Uchwały Sekretariatu Naukowego PAN z dnia 1 grudnia 1953 roku. Jego głównymi, statutowymi zadaniami są: gromadzenie, ewidencjonowanie, opracowywanie, przechowywanie i udostępnianie materiałów archiwalnych. Na każdym z etapów tych prac spotykamy się z zagrożeniami, którym należy zapobiegać czy przeciwdziałać.  </w:t>
      </w:r>
    </w:p>
    <w:p w14:paraId="765A3322" w14:textId="77777777" w:rsidR="00A94928" w:rsidRPr="00A94928" w:rsidRDefault="00A94928" w:rsidP="00A94928">
      <w:pPr>
        <w:rPr>
          <w:rFonts w:asciiTheme="minorHAnsi" w:hAnsiTheme="minorHAnsi" w:cstheme="minorHAnsi"/>
        </w:rPr>
      </w:pPr>
      <w:r w:rsidRPr="00A94928">
        <w:rPr>
          <w:rFonts w:asciiTheme="minorHAnsi" w:hAnsiTheme="minorHAnsi" w:cstheme="minorHAnsi"/>
        </w:rPr>
        <w:t xml:space="preserve">W codziennej, bieżącej pracy najważniejszymi przyczynami destrukcji archiwaliów są uszkodzenia związane z czynnikami fizykochemicznymi, biologicznymi i mechanicznymi. Dlatego dbamy o to, by w magazynach archiwalnych było  właściwe oświetlenie, temperatura, wilgotność oraz by panowała równowaga biologiczna, a zbiory były </w:t>
      </w:r>
      <w:proofErr w:type="spellStart"/>
      <w:r w:rsidRPr="00A94928">
        <w:rPr>
          <w:rFonts w:asciiTheme="minorHAnsi" w:hAnsiTheme="minorHAnsi" w:cstheme="minorHAnsi"/>
        </w:rPr>
        <w:t>zabe</w:t>
      </w:r>
      <w:proofErr w:type="spellEnd"/>
      <w:r w:rsidRPr="00A94928">
        <w:rPr>
          <w:rFonts w:asciiTheme="minorHAnsi" w:hAnsiTheme="minorHAnsi" w:cstheme="minorHAnsi"/>
        </w:rPr>
        <w:t xml:space="preserve"> zabezpieczone przed bakteriami, grzybami, owadami czy gryzoniami. Wszystkie przemieszczenia magazynowe i zmiany muszą być dobrze przemyślane, zwłaszcza w wypadu akt przechowywanych w tych samych warunkach przez 70 lat, jak to się dzieje w naszym przypadku.</w:t>
      </w:r>
    </w:p>
    <w:p w14:paraId="7D68A180" w14:textId="36383F71" w:rsidR="005B0656" w:rsidRDefault="005B0656">
      <w:pPr>
        <w:spacing w:after="160" w:line="259" w:lineRule="auto"/>
        <w:rPr>
          <w:rFonts w:asciiTheme="minorHAnsi" w:hAnsiTheme="minorHAnsi" w:cstheme="minorHAnsi"/>
        </w:rPr>
      </w:pPr>
      <w:r>
        <w:rPr>
          <w:rFonts w:asciiTheme="minorHAnsi" w:hAnsiTheme="minorHAnsi" w:cstheme="minorHAnsi"/>
        </w:rPr>
        <w:br w:type="page"/>
      </w:r>
    </w:p>
    <w:p w14:paraId="4B7F8757" w14:textId="703491E8" w:rsidR="006B02B1" w:rsidRDefault="006B02B1" w:rsidP="006B02B1">
      <w:pPr>
        <w:rPr>
          <w:rFonts w:asciiTheme="minorHAnsi" w:hAnsiTheme="minorHAnsi" w:cstheme="minorHAnsi"/>
        </w:rPr>
      </w:pPr>
      <w:r>
        <w:rPr>
          <w:rFonts w:asciiTheme="minorHAnsi" w:hAnsiTheme="minorHAnsi" w:cstheme="minorHAnsi"/>
        </w:rPr>
        <w:lastRenderedPageBreak/>
        <w:t xml:space="preserve">Tekst 2 </w:t>
      </w:r>
    </w:p>
    <w:p w14:paraId="4BCACFF9" w14:textId="77777777" w:rsidR="005B0656" w:rsidRPr="00A94928" w:rsidRDefault="005B0656" w:rsidP="00A94928">
      <w:pPr>
        <w:rPr>
          <w:rFonts w:asciiTheme="minorHAnsi" w:hAnsiTheme="minorHAnsi" w:cstheme="minorHAnsi"/>
        </w:rPr>
      </w:pPr>
    </w:p>
    <w:p w14:paraId="10449884" w14:textId="77777777" w:rsidR="00A94928" w:rsidRPr="005B0656" w:rsidRDefault="00A94928" w:rsidP="00A94928">
      <w:pPr>
        <w:rPr>
          <w:rFonts w:asciiTheme="minorHAnsi" w:hAnsiTheme="minorHAnsi" w:cstheme="minorHAnsi"/>
          <w:b/>
          <w:bCs/>
        </w:rPr>
      </w:pPr>
      <w:r w:rsidRPr="005B0656">
        <w:rPr>
          <w:rFonts w:asciiTheme="minorHAnsi" w:hAnsiTheme="minorHAnsi" w:cstheme="minorHAnsi"/>
          <w:b/>
          <w:bCs/>
        </w:rPr>
        <w:t xml:space="preserve">Lekceważone zagrożenia </w:t>
      </w:r>
    </w:p>
    <w:p w14:paraId="329BC005" w14:textId="77777777" w:rsidR="00A94928" w:rsidRPr="00A94928" w:rsidRDefault="00A94928" w:rsidP="00A94928">
      <w:pPr>
        <w:rPr>
          <w:rFonts w:asciiTheme="minorHAnsi" w:hAnsiTheme="minorHAnsi" w:cstheme="minorHAnsi"/>
        </w:rPr>
      </w:pPr>
    </w:p>
    <w:p w14:paraId="1C223EE9" w14:textId="77777777" w:rsidR="00A94928" w:rsidRPr="00A94928" w:rsidRDefault="00A94928" w:rsidP="00A94928">
      <w:pPr>
        <w:rPr>
          <w:rFonts w:asciiTheme="minorHAnsi" w:hAnsiTheme="minorHAnsi" w:cstheme="minorHAnsi"/>
        </w:rPr>
      </w:pPr>
      <w:r w:rsidRPr="00A94928">
        <w:rPr>
          <w:rFonts w:asciiTheme="minorHAnsi" w:hAnsiTheme="minorHAnsi" w:cstheme="minorHAnsi"/>
        </w:rPr>
        <w:t>We współczesnych dyskusjach naukowych zazwyczaj stosuje się pojęcie „</w:t>
      </w:r>
      <w:proofErr w:type="spellStart"/>
      <w:r w:rsidRPr="00A94928">
        <w:rPr>
          <w:rFonts w:asciiTheme="minorHAnsi" w:hAnsiTheme="minorHAnsi" w:cstheme="minorHAnsi"/>
        </w:rPr>
        <w:t>geohazards</w:t>
      </w:r>
      <w:proofErr w:type="spellEnd"/>
      <w:r w:rsidRPr="00A94928">
        <w:rPr>
          <w:rFonts w:asciiTheme="minorHAnsi" w:hAnsiTheme="minorHAnsi" w:cstheme="minorHAnsi"/>
        </w:rPr>
        <w:t>”, które ma w języku polskim swoje odpowiedniki: „</w:t>
      </w:r>
      <w:proofErr w:type="spellStart"/>
      <w:r w:rsidRPr="00A94928">
        <w:rPr>
          <w:rFonts w:asciiTheme="minorHAnsi" w:hAnsiTheme="minorHAnsi" w:cstheme="minorHAnsi"/>
        </w:rPr>
        <w:t>geozagrożenia</w:t>
      </w:r>
      <w:proofErr w:type="spellEnd"/>
      <w:r w:rsidRPr="00A94928">
        <w:rPr>
          <w:rFonts w:asciiTheme="minorHAnsi" w:hAnsiTheme="minorHAnsi" w:cstheme="minorHAnsi"/>
        </w:rPr>
        <w:t xml:space="preserve">” lub „zagrożenia geologiczne”. Termin ten oznacza różnorodne procesy dynamiczne, których efekty na powierzchni Ziemi stanowią lub potencjalnie mogą stanowić zagrożenie dla zdrowia i życia ludzi, infrastruktury i nieruchomości oraz środowiska przyrodniczego. Poza trzęsieniami ziemi, powodziami, ruchami masowymi i erupcjami wulkanów do </w:t>
      </w:r>
      <w:proofErr w:type="spellStart"/>
      <w:r w:rsidRPr="00A94928">
        <w:rPr>
          <w:rFonts w:asciiTheme="minorHAnsi" w:hAnsiTheme="minorHAnsi" w:cstheme="minorHAnsi"/>
        </w:rPr>
        <w:t>geozagrożeń</w:t>
      </w:r>
      <w:proofErr w:type="spellEnd"/>
      <w:r w:rsidRPr="00A94928">
        <w:rPr>
          <w:rFonts w:asciiTheme="minorHAnsi" w:hAnsiTheme="minorHAnsi" w:cstheme="minorHAnsi"/>
        </w:rPr>
        <w:t xml:space="preserve"> zalicza się także: huragany, tsunami, </w:t>
      </w:r>
      <w:proofErr w:type="spellStart"/>
      <w:r w:rsidRPr="00A94928">
        <w:rPr>
          <w:rFonts w:asciiTheme="minorHAnsi" w:hAnsiTheme="minorHAnsi" w:cstheme="minorHAnsi"/>
        </w:rPr>
        <w:t>impakty</w:t>
      </w:r>
      <w:proofErr w:type="spellEnd"/>
      <w:r w:rsidRPr="00A94928">
        <w:rPr>
          <w:rFonts w:asciiTheme="minorHAnsi" w:hAnsiTheme="minorHAnsi" w:cstheme="minorHAnsi"/>
        </w:rPr>
        <w:t xml:space="preserve">, anomalie pogodowe, a nawet zmiany pola magnetycznego Ziemi. Nie jest to zatem synonim katastrof naturalnych, lecz termin wskazujący na fakt, że jakikolwiek niedostatecznie poznany proces dynamiczny może być potencjalnie niebezpieczny i powodować trudne do oszacowania zniszczenia.  </w:t>
      </w:r>
    </w:p>
    <w:p w14:paraId="68D421DF" w14:textId="77777777" w:rsidR="00A94928" w:rsidRPr="00A94928" w:rsidRDefault="00A94928" w:rsidP="00A94928">
      <w:pPr>
        <w:rPr>
          <w:rFonts w:asciiTheme="minorHAnsi" w:hAnsiTheme="minorHAnsi" w:cstheme="minorHAnsi"/>
        </w:rPr>
      </w:pPr>
    </w:p>
    <w:p w14:paraId="2D244ED1" w14:textId="77777777" w:rsidR="00A94928" w:rsidRPr="00A94928" w:rsidRDefault="00A94928" w:rsidP="00A94928">
      <w:pPr>
        <w:rPr>
          <w:rFonts w:asciiTheme="minorHAnsi" w:hAnsiTheme="minorHAnsi" w:cstheme="minorHAnsi"/>
        </w:rPr>
      </w:pPr>
      <w:r w:rsidRPr="00A94928">
        <w:rPr>
          <w:rFonts w:asciiTheme="minorHAnsi" w:hAnsiTheme="minorHAnsi" w:cstheme="minorHAnsi"/>
        </w:rPr>
        <w:t xml:space="preserve">Polska znajduje się na względnie stabilnym sejsmicznie terenie, z dala od granic płyt tektonicznych i obszarów aktywnych wulkanicznie. Jest także położona w dużej odległości od gorących </w:t>
      </w:r>
      <w:proofErr w:type="spellStart"/>
      <w:r w:rsidRPr="00A94928">
        <w:rPr>
          <w:rFonts w:asciiTheme="minorHAnsi" w:hAnsiTheme="minorHAnsi" w:cstheme="minorHAnsi"/>
        </w:rPr>
        <w:t>okołozwrotnikowych</w:t>
      </w:r>
      <w:proofErr w:type="spellEnd"/>
      <w:r w:rsidRPr="00A94928">
        <w:rPr>
          <w:rFonts w:asciiTheme="minorHAnsi" w:hAnsiTheme="minorHAnsi" w:cstheme="minorHAnsi"/>
        </w:rPr>
        <w:t xml:space="preserve"> akwenów. Z tego powodu przez wiele lat dominowało niesłuszne przekonanie, że nie dotyczą jej zagrożenia geologiczne. Choć w Karpatach już od XVIII wieku opisywano regularnie nowo powstałe osuwiska, stosunkowo długo nie zdawano sobie sprawy z tego, jak dużym są one problemem. W XX stuleciu co kilka lub kilkanaście lat następowały wilgotniejsze okresy, podczas których intensywne opady powodowały wzrost występowania ruchów masowych. Współcześnie takie incydenty nazywamy katastrofami osuwiskowymi. Po każdym takim zdarzeniu opinia publiczna krótkotrwale interesowała się tą tematyką. Działo się tak praktycznie przez większość XX wieku. Choć w czasach PRL powstało kilka opracowań regionalnych, a pod koniec lat 60. przeprowadzono pierwszą ogólnopolską inwentaryzację, to jednak wciąż brakowało danych do pełnego oszacowania skali tego zagrożenia. Ocenia się, że do początków XXI wieku na obszarze całej Polski rozpoznano około kilkunastu tysięcy osuwisk, w tym blisko 10 tysięcy na obszarze Karpat.</w:t>
      </w:r>
    </w:p>
    <w:p w14:paraId="64F0637E" w14:textId="3E996131" w:rsidR="005B0656" w:rsidRDefault="005B0656">
      <w:pPr>
        <w:spacing w:after="160" w:line="259" w:lineRule="auto"/>
        <w:rPr>
          <w:rFonts w:asciiTheme="minorHAnsi" w:hAnsiTheme="minorHAnsi" w:cstheme="minorHAnsi"/>
        </w:rPr>
      </w:pPr>
      <w:r>
        <w:rPr>
          <w:rFonts w:asciiTheme="minorHAnsi" w:hAnsiTheme="minorHAnsi" w:cstheme="minorHAnsi"/>
        </w:rPr>
        <w:br w:type="page"/>
      </w:r>
    </w:p>
    <w:p w14:paraId="2BCE5610" w14:textId="0A3E12B4" w:rsidR="006B02B1" w:rsidRDefault="006B02B1" w:rsidP="006B02B1">
      <w:pPr>
        <w:rPr>
          <w:rFonts w:asciiTheme="minorHAnsi" w:hAnsiTheme="minorHAnsi" w:cstheme="minorHAnsi"/>
        </w:rPr>
      </w:pPr>
      <w:r>
        <w:rPr>
          <w:rFonts w:asciiTheme="minorHAnsi" w:hAnsiTheme="minorHAnsi" w:cstheme="minorHAnsi"/>
        </w:rPr>
        <w:lastRenderedPageBreak/>
        <w:t>Tekst 2</w:t>
      </w:r>
    </w:p>
    <w:p w14:paraId="500ADAC5" w14:textId="77777777" w:rsidR="005B0656" w:rsidRDefault="005B0656" w:rsidP="00A94928">
      <w:pPr>
        <w:rPr>
          <w:rFonts w:asciiTheme="minorHAnsi" w:hAnsiTheme="minorHAnsi" w:cstheme="minorHAnsi"/>
        </w:rPr>
      </w:pPr>
    </w:p>
    <w:p w14:paraId="24DCC6AC" w14:textId="34216BDC" w:rsidR="00A94928" w:rsidRPr="00A94928" w:rsidRDefault="00A94928" w:rsidP="00A94928">
      <w:pPr>
        <w:rPr>
          <w:rFonts w:asciiTheme="minorHAnsi" w:hAnsiTheme="minorHAnsi" w:cstheme="minorHAnsi"/>
          <w:b/>
        </w:rPr>
      </w:pPr>
      <w:r w:rsidRPr="00A94928">
        <w:rPr>
          <w:rFonts w:asciiTheme="minorHAnsi" w:hAnsiTheme="minorHAnsi" w:cstheme="minorHAnsi"/>
          <w:b/>
        </w:rPr>
        <w:t xml:space="preserve">Jak wygląda proces badawczy zajmujący się ścieżką prowadzącą od człowieka, który podejmuje decyzje, do tworzenia symulacji systemów transportowych przyszłości? </w:t>
      </w:r>
    </w:p>
    <w:p w14:paraId="44BE724D" w14:textId="77777777" w:rsidR="00A94928" w:rsidRPr="00A94928" w:rsidRDefault="00A94928" w:rsidP="00A94928">
      <w:pPr>
        <w:rPr>
          <w:rFonts w:asciiTheme="minorHAnsi" w:hAnsiTheme="minorHAnsi" w:cstheme="minorHAnsi"/>
        </w:rPr>
      </w:pPr>
    </w:p>
    <w:p w14:paraId="5933C831" w14:textId="77777777" w:rsidR="00A94928" w:rsidRPr="00A94928" w:rsidRDefault="00A94928" w:rsidP="00A94928">
      <w:pPr>
        <w:rPr>
          <w:rFonts w:asciiTheme="minorHAnsi" w:hAnsiTheme="minorHAnsi" w:cstheme="minorHAnsi"/>
        </w:rPr>
      </w:pPr>
      <w:r w:rsidRPr="00A94928">
        <w:rPr>
          <w:rFonts w:asciiTheme="minorHAnsi" w:hAnsiTheme="minorHAnsi" w:cstheme="minorHAnsi"/>
        </w:rPr>
        <w:t xml:space="preserve">Na szczęście dysponujemy tutaj wieloma modelami i teoriami zweryfikowanymi empirycznie. Chociażby tzw. teorią wyboru dyskretnego. Wybór dyskretny jest wtedy, gdy wybieramy spomiędzy kilku opcji: np. czy wsiądę do samochodu, czy na rower. Z perspektywy wybierającego wydaje się to proste. Ale z perspektywy obserwatora, kiedy nie znamy preferencji danej osoby, ocena, jaką ona podejmie decyzję i dlaczego, jest już dość skomplikowana. Do tego preferencje można podzielić na zastane i ujawnione – według teorii ekonomisty Paula </w:t>
      </w:r>
      <w:proofErr w:type="spellStart"/>
      <w:r w:rsidRPr="00A94928">
        <w:rPr>
          <w:rFonts w:asciiTheme="minorHAnsi" w:hAnsiTheme="minorHAnsi" w:cstheme="minorHAnsi"/>
        </w:rPr>
        <w:t>Samuelsona</w:t>
      </w:r>
      <w:proofErr w:type="spellEnd"/>
      <w:r w:rsidRPr="00A94928">
        <w:rPr>
          <w:rFonts w:asciiTheme="minorHAnsi" w:hAnsiTheme="minorHAnsi" w:cstheme="minorHAnsi"/>
        </w:rPr>
        <w:t xml:space="preserve">, przekonanie nie zawsze idzie w parze z zachowaniem, np. konsumenta. My korzystamy z danych, które pokazują efekty podjętej decyzji, czyli to, jak faktycznie ktoś się zachował, np. z pomiarów, programów nawigacyjnych itp. Na tej podstawie można analizować dane według różnych zmiennych. Można sprawdzić, czy jak wzrosły ceny biletów, to jest mniej ludzi w środkach transportu publicznego, a jak ceny paliwa – w samochodach. Czy jeśli tramwaj jest szybki albo wygodny, to ma więcej pasażerów? To są dane powszechnie wykorzystywane w marketingu internetowym i politycznym. Dlatego do naszych badań korzystamy z obszernych istniejących już baz danych o tym, jak ludzie się zachowują, i na tej podstawie możemy szacować przyszłość. Oczywiście nie znamy jej, a zmiana raptem jednego parametru w tych modelach może całkowicie ją zmienić. Od takiej, w której miasta są jeszcze bardziej zakorkowane, do takiej, w których aut nie ma w ogóle.  </w:t>
      </w:r>
    </w:p>
    <w:p w14:paraId="3293DFEF" w14:textId="77777777" w:rsidR="00A94928" w:rsidRPr="00A94928" w:rsidRDefault="00A94928" w:rsidP="00A94928">
      <w:pPr>
        <w:rPr>
          <w:rFonts w:asciiTheme="minorHAnsi" w:hAnsiTheme="minorHAnsi" w:cstheme="minorHAnsi"/>
        </w:rPr>
      </w:pPr>
    </w:p>
    <w:p w14:paraId="4892EC1A" w14:textId="77777777" w:rsidR="005B0656" w:rsidRDefault="005B0656">
      <w:pPr>
        <w:spacing w:after="160" w:line="259" w:lineRule="auto"/>
        <w:rPr>
          <w:rFonts w:asciiTheme="minorHAnsi" w:hAnsiTheme="minorHAnsi" w:cstheme="minorHAnsi"/>
          <w:b/>
        </w:rPr>
      </w:pPr>
      <w:r>
        <w:rPr>
          <w:rFonts w:asciiTheme="minorHAnsi" w:hAnsiTheme="minorHAnsi" w:cstheme="minorHAnsi"/>
          <w:b/>
        </w:rPr>
        <w:br w:type="page"/>
      </w:r>
    </w:p>
    <w:p w14:paraId="0A604016" w14:textId="455867BB" w:rsidR="006B02B1" w:rsidRDefault="006B02B1" w:rsidP="006B02B1">
      <w:pPr>
        <w:rPr>
          <w:rFonts w:asciiTheme="minorHAnsi" w:hAnsiTheme="minorHAnsi" w:cstheme="minorHAnsi"/>
        </w:rPr>
      </w:pPr>
      <w:r>
        <w:rPr>
          <w:rFonts w:asciiTheme="minorHAnsi" w:hAnsiTheme="minorHAnsi" w:cstheme="minorHAnsi"/>
        </w:rPr>
        <w:lastRenderedPageBreak/>
        <w:t xml:space="preserve">Tekst 3 </w:t>
      </w:r>
    </w:p>
    <w:p w14:paraId="772EE1A7" w14:textId="77777777" w:rsidR="006B02B1" w:rsidRPr="006B02B1" w:rsidRDefault="006B02B1" w:rsidP="00A94928">
      <w:pPr>
        <w:rPr>
          <w:rFonts w:asciiTheme="minorHAnsi" w:hAnsiTheme="minorHAnsi" w:cstheme="minorHAnsi"/>
          <w:bCs/>
        </w:rPr>
      </w:pPr>
    </w:p>
    <w:p w14:paraId="6E02AF62" w14:textId="6781BCA5" w:rsidR="00A94928" w:rsidRPr="00A94928" w:rsidRDefault="00A94928" w:rsidP="00A94928">
      <w:pPr>
        <w:rPr>
          <w:rFonts w:asciiTheme="minorHAnsi" w:hAnsiTheme="minorHAnsi" w:cstheme="minorHAnsi"/>
        </w:rPr>
      </w:pPr>
      <w:r w:rsidRPr="00A94928">
        <w:rPr>
          <w:rFonts w:asciiTheme="minorHAnsi" w:hAnsiTheme="minorHAnsi" w:cstheme="minorHAnsi"/>
          <w:b/>
        </w:rPr>
        <w:t xml:space="preserve">Z książki „Niewidzialne kobiety. Jak dane tworzą świat skrojony pod mężczyzn” Caroline </w:t>
      </w:r>
      <w:proofErr w:type="spellStart"/>
      <w:r w:rsidRPr="00A94928">
        <w:rPr>
          <w:rFonts w:asciiTheme="minorHAnsi" w:hAnsiTheme="minorHAnsi" w:cstheme="minorHAnsi"/>
          <w:b/>
        </w:rPr>
        <w:t>Criado</w:t>
      </w:r>
      <w:proofErr w:type="spellEnd"/>
      <w:r w:rsidRPr="00A94928">
        <w:rPr>
          <w:rFonts w:asciiTheme="minorHAnsi" w:hAnsiTheme="minorHAnsi" w:cstheme="minorHAnsi"/>
          <w:b/>
        </w:rPr>
        <w:t>-Perez dowiadujemy się, jak bardzo różni się sposób przemieszczania się kobiet i mężczyzn. Czy można te modele różnicować ze względu na płeć</w:t>
      </w:r>
      <w:r w:rsidRPr="00A94928">
        <w:rPr>
          <w:rFonts w:asciiTheme="minorHAnsi" w:hAnsiTheme="minorHAnsi" w:cstheme="minorHAnsi"/>
        </w:rPr>
        <w:t xml:space="preserve">? </w:t>
      </w:r>
    </w:p>
    <w:p w14:paraId="780F4174" w14:textId="77777777" w:rsidR="00A94928" w:rsidRPr="00A94928" w:rsidRDefault="00A94928" w:rsidP="00A94928">
      <w:pPr>
        <w:rPr>
          <w:rFonts w:asciiTheme="minorHAnsi" w:hAnsiTheme="minorHAnsi" w:cstheme="minorHAnsi"/>
        </w:rPr>
      </w:pPr>
    </w:p>
    <w:p w14:paraId="7C4EECE8" w14:textId="77777777" w:rsidR="00A94928" w:rsidRPr="00A94928" w:rsidRDefault="00A94928" w:rsidP="006B02B1">
      <w:pPr>
        <w:jc w:val="both"/>
        <w:rPr>
          <w:rFonts w:asciiTheme="minorHAnsi" w:hAnsiTheme="minorHAnsi" w:cstheme="minorHAnsi"/>
        </w:rPr>
      </w:pPr>
      <w:r w:rsidRPr="00A94928">
        <w:rPr>
          <w:rFonts w:asciiTheme="minorHAnsi" w:hAnsiTheme="minorHAnsi" w:cstheme="minorHAnsi"/>
        </w:rPr>
        <w:t>Tak, zawsze uwzględniamy płeć i to pokazuje wyraźne różnice między kobietami a mężczyznami. Ale dbamy o to, żeby nie tylko kobiety były odpowiednio reprezentowane w próbie. Istnieje wiele grup wykluczonych transportowo. Nie oszukujmy się: samochód to przede wszystkim pojazd dla młodego, raczej sprawnego mężczyzny, który potrzebuje gdzieś szybko dotrzeć, a jego dzieci nie mają jak dojść do szkoły, rodzice jak dojechać do lekarza. Jest bardzo wielu aktywistów, którzy chcieliby miast bez samochodów lub przynajmniej z ich dużo mniejszą liczbą. Ale ponieważ często nie dysponują twardymi argumentami, ich działania mają odwrotne skutki i budzą niechęć zmotoryzowanych. Takie badania mogą ich dostarczyć.</w:t>
      </w:r>
    </w:p>
    <w:p w14:paraId="27F14040" w14:textId="77777777" w:rsidR="006B02B1" w:rsidRDefault="006B02B1">
      <w:pPr>
        <w:spacing w:after="160" w:line="259" w:lineRule="auto"/>
        <w:rPr>
          <w:rFonts w:asciiTheme="minorHAnsi" w:hAnsiTheme="minorHAnsi" w:cstheme="minorHAnsi"/>
        </w:rPr>
      </w:pPr>
      <w:r>
        <w:rPr>
          <w:rFonts w:asciiTheme="minorHAnsi" w:hAnsiTheme="minorHAnsi" w:cstheme="minorHAnsi"/>
        </w:rPr>
        <w:br w:type="page"/>
      </w:r>
    </w:p>
    <w:p w14:paraId="6B9046E0" w14:textId="12BFEE2C" w:rsidR="006B02B1" w:rsidRDefault="006B02B1" w:rsidP="006B02B1">
      <w:pPr>
        <w:rPr>
          <w:rFonts w:asciiTheme="minorHAnsi" w:hAnsiTheme="minorHAnsi" w:cstheme="minorHAnsi"/>
        </w:rPr>
      </w:pPr>
      <w:r>
        <w:rPr>
          <w:rFonts w:asciiTheme="minorHAnsi" w:hAnsiTheme="minorHAnsi" w:cstheme="minorHAnsi"/>
        </w:rPr>
        <w:lastRenderedPageBreak/>
        <w:t xml:space="preserve">Tekst 4 </w:t>
      </w:r>
    </w:p>
    <w:p w14:paraId="7A9DEB17" w14:textId="77777777" w:rsidR="006B02B1" w:rsidRPr="00A94928" w:rsidRDefault="006B02B1" w:rsidP="00A94928">
      <w:pPr>
        <w:rPr>
          <w:rFonts w:asciiTheme="minorHAnsi" w:hAnsiTheme="minorHAnsi" w:cstheme="minorHAnsi"/>
        </w:rPr>
      </w:pPr>
    </w:p>
    <w:p w14:paraId="5A42F6F8" w14:textId="77777777" w:rsidR="00A94928" w:rsidRPr="006B02B1" w:rsidRDefault="00A94928" w:rsidP="00A94928">
      <w:pPr>
        <w:rPr>
          <w:rFonts w:asciiTheme="minorHAnsi" w:hAnsiTheme="minorHAnsi" w:cstheme="minorHAnsi"/>
          <w:b/>
          <w:bCs/>
        </w:rPr>
      </w:pPr>
      <w:r w:rsidRPr="006B02B1">
        <w:rPr>
          <w:rFonts w:asciiTheme="minorHAnsi" w:hAnsiTheme="minorHAnsi" w:cstheme="minorHAnsi"/>
          <w:b/>
          <w:bCs/>
        </w:rPr>
        <w:t xml:space="preserve">Przeciętny Kowalski, wchodząc do lasu, boi się spotkania z dużymi ssakami: wilkami, dzikami czy niedźwiedziem, ale największym zagrożeniem są dla nas niepozorne stawonogi – kleszcze. </w:t>
      </w:r>
    </w:p>
    <w:p w14:paraId="5609787C" w14:textId="77777777" w:rsidR="00A94928" w:rsidRPr="00A94928" w:rsidRDefault="00A94928" w:rsidP="00A94928">
      <w:pPr>
        <w:rPr>
          <w:rFonts w:asciiTheme="minorHAnsi" w:hAnsiTheme="minorHAnsi" w:cstheme="minorHAnsi"/>
        </w:rPr>
      </w:pPr>
    </w:p>
    <w:p w14:paraId="44601892" w14:textId="77777777" w:rsidR="00A94928" w:rsidRPr="00A94928" w:rsidRDefault="00A94928" w:rsidP="00A94928">
      <w:pPr>
        <w:rPr>
          <w:rFonts w:asciiTheme="minorHAnsi" w:hAnsiTheme="minorHAnsi" w:cstheme="minorHAnsi"/>
        </w:rPr>
      </w:pPr>
      <w:r w:rsidRPr="00A94928">
        <w:rPr>
          <w:rFonts w:asciiTheme="minorHAnsi" w:hAnsiTheme="minorHAnsi" w:cstheme="minorHAnsi"/>
        </w:rPr>
        <w:t xml:space="preserve">Leśne BHP </w:t>
      </w:r>
    </w:p>
    <w:p w14:paraId="359B659E" w14:textId="77777777" w:rsidR="00A94928" w:rsidRPr="00A94928" w:rsidRDefault="00A94928" w:rsidP="00A94928">
      <w:pPr>
        <w:rPr>
          <w:rFonts w:asciiTheme="minorHAnsi" w:hAnsiTheme="minorHAnsi" w:cstheme="minorHAnsi"/>
        </w:rPr>
      </w:pPr>
    </w:p>
    <w:p w14:paraId="78956604" w14:textId="1793DC4A" w:rsidR="00C62504" w:rsidRPr="00A94928" w:rsidRDefault="00A94928" w:rsidP="00A94928">
      <w:pPr>
        <w:rPr>
          <w:rFonts w:asciiTheme="minorHAnsi" w:hAnsiTheme="minorHAnsi" w:cstheme="minorHAnsi"/>
        </w:rPr>
      </w:pPr>
      <w:r w:rsidRPr="00A94928">
        <w:rPr>
          <w:rFonts w:asciiTheme="minorHAnsi" w:hAnsiTheme="minorHAnsi" w:cstheme="minorHAnsi"/>
        </w:rPr>
        <w:t>Żeby sprawdzić, czy boimy się wyjścia do lasu z powodu zagrożenia ukłuciem przez kleszcza, Instytut Praw Pacjenta i Edukacji Zdrowotnej w 2018 roku zlecił ogólnopolską ankietę. Wynika z niej, że trzy czwarte ankietowanych choć raz zrezygnowało z wyjścia z domu na spacer do lasu czy parku ze względu na obawę przed ukąszeniem przez kleszcze, a co trzecia osoba (37 proc.) twierdzi, że boi się ich zdecydowanie. Wyniki badania bardzo wyraźnie wskazują na to, że dominującą przyczyną strachu przed kleszczami jest dla badanych Polaków nie sam pajęczak jako taki, ale ryzyko choroby, które wiąże się z jego ukłuciem – tę przyczynę wskazało 94 proc. badanych. Przy czym 87 proc. badanych wymieniło boreliozę jako główną chorobę przenoszoną przez kleszcze. Na kleszczowe zapalenie mózgu (KZM) wskazało o połowę mniej, bo 42 proc. badanych. Rzeczywiście borelioza jest chorobą najczęściej diagnozowaną i rejestrowaną (17 338 przypadków w 2022 roku) i wywołującą bardzo dużo emocji. Warto jednak pamiętać, że to choroba wyleczalna, dobrze reagująca na kurację antybiotykową i z punktu widzenia zdrowia publicznego nie jest tak groźna jak KZM, które może prowadzić do śmierci lub trwałego kalectwa. W dodatku nie znamy lekarstwa na zapalenie mózgu, a liczba zdiagnozowanych przypadków w zeszłym roku wzrosła dwukrotnie. Bardzo silny trend wzrostowy jest notowany od 2020 roku w krajach sąsiadujących z Polską. Tak więc to KZM jest chorobą, której powinniśmy się bardziej obawiać. Przed nią też powinniśmy się chronić – najlepiej przez szczepienie. Niestety, tylko leśnicy i żołnierze są objęci obowiązkowym szczepieniem, a wśród pozostałej części społeczeństwa tylko 2 proc. jest wyszczepionych.</w:t>
      </w:r>
    </w:p>
    <w:sectPr w:rsidR="00C62504" w:rsidRPr="00A94928">
      <w:head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3EE3A0" w14:textId="77777777" w:rsidR="00974B87" w:rsidRDefault="00974B87" w:rsidP="007628EC">
      <w:r>
        <w:separator/>
      </w:r>
    </w:p>
  </w:endnote>
  <w:endnote w:type="continuationSeparator" w:id="0">
    <w:p w14:paraId="18CC7E80" w14:textId="77777777" w:rsidR="00974B87" w:rsidRDefault="00974B87" w:rsidP="007628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890AF9" w14:textId="77777777" w:rsidR="00974B87" w:rsidRDefault="00974B87" w:rsidP="007628EC">
      <w:r>
        <w:separator/>
      </w:r>
    </w:p>
  </w:footnote>
  <w:footnote w:type="continuationSeparator" w:id="0">
    <w:p w14:paraId="2C1DCA8F" w14:textId="77777777" w:rsidR="00974B87" w:rsidRDefault="00974B87" w:rsidP="007628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CB739" w14:textId="793D7AD0" w:rsidR="007628EC" w:rsidRPr="007628EC" w:rsidRDefault="007628EC" w:rsidP="007628EC">
    <w:pPr>
      <w:pStyle w:val="Nagwek"/>
      <w:jc w:val="right"/>
      <w:rPr>
        <w:rFonts w:asciiTheme="minorHAnsi" w:hAnsiTheme="minorHAnsi" w:cstheme="minorHAnsi"/>
      </w:rPr>
    </w:pPr>
    <w:r w:rsidRPr="007628EC">
      <w:rPr>
        <w:rFonts w:asciiTheme="minorHAnsi" w:hAnsiTheme="minorHAnsi" w:cstheme="minorHAnsi"/>
      </w:rPr>
      <w:t>Załącznik nr 3 do Zaproszenia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351"/>
    <w:rsid w:val="00132AB1"/>
    <w:rsid w:val="004E6C23"/>
    <w:rsid w:val="005B0656"/>
    <w:rsid w:val="006B02B1"/>
    <w:rsid w:val="007628EC"/>
    <w:rsid w:val="00974B87"/>
    <w:rsid w:val="009C01F7"/>
    <w:rsid w:val="00A94928"/>
    <w:rsid w:val="00C62504"/>
    <w:rsid w:val="00D77351"/>
    <w:rsid w:val="00F36602"/>
    <w:rsid w:val="00FE0C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45BD8"/>
  <w15:chartTrackingRefBased/>
  <w15:docId w15:val="{721C4CF4-2924-4B38-84CB-C046F6D02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77351"/>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D7735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Uwydatnienie">
    <w:name w:val="Emphasis"/>
    <w:uiPriority w:val="20"/>
    <w:qFormat/>
    <w:rsid w:val="00D77351"/>
    <w:rPr>
      <w:i/>
      <w:iCs/>
    </w:rPr>
  </w:style>
  <w:style w:type="character" w:customStyle="1" w:styleId="Nagwek1Znak">
    <w:name w:val="Nagłówek 1 Znak"/>
    <w:basedOn w:val="Domylnaczcionkaakapitu"/>
    <w:link w:val="Nagwek1"/>
    <w:uiPriority w:val="9"/>
    <w:rsid w:val="00D77351"/>
    <w:rPr>
      <w:rFonts w:asciiTheme="majorHAnsi" w:eastAsiaTheme="majorEastAsia" w:hAnsiTheme="majorHAnsi" w:cstheme="majorBidi"/>
      <w:color w:val="2F5496" w:themeColor="accent1" w:themeShade="BF"/>
      <w:sz w:val="32"/>
      <w:szCs w:val="32"/>
      <w:lang w:eastAsia="pl-PL"/>
    </w:rPr>
  </w:style>
  <w:style w:type="paragraph" w:styleId="Nagwek">
    <w:name w:val="header"/>
    <w:basedOn w:val="Normalny"/>
    <w:link w:val="NagwekZnak"/>
    <w:uiPriority w:val="99"/>
    <w:unhideWhenUsed/>
    <w:rsid w:val="007628EC"/>
    <w:pPr>
      <w:tabs>
        <w:tab w:val="center" w:pos="4536"/>
        <w:tab w:val="right" w:pos="9072"/>
      </w:tabs>
    </w:pPr>
  </w:style>
  <w:style w:type="character" w:customStyle="1" w:styleId="NagwekZnak">
    <w:name w:val="Nagłówek Znak"/>
    <w:basedOn w:val="Domylnaczcionkaakapitu"/>
    <w:link w:val="Nagwek"/>
    <w:uiPriority w:val="99"/>
    <w:rsid w:val="007628EC"/>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7628EC"/>
    <w:pPr>
      <w:tabs>
        <w:tab w:val="center" w:pos="4536"/>
        <w:tab w:val="right" w:pos="9072"/>
      </w:tabs>
    </w:pPr>
  </w:style>
  <w:style w:type="character" w:customStyle="1" w:styleId="StopkaZnak">
    <w:name w:val="Stopka Znak"/>
    <w:basedOn w:val="Domylnaczcionkaakapitu"/>
    <w:link w:val="Stopka"/>
    <w:uiPriority w:val="99"/>
    <w:rsid w:val="007628EC"/>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48F169A9D9551F458BA34AAC49C9CB85" ma:contentTypeVersion="13" ma:contentTypeDescription="Utwórz nowy dokument." ma:contentTypeScope="" ma:versionID="21616e3f50e60f89c2fa9abb7f258c3a">
  <xsd:schema xmlns:xsd="http://www.w3.org/2001/XMLSchema" xmlns:xs="http://www.w3.org/2001/XMLSchema" xmlns:p="http://schemas.microsoft.com/office/2006/metadata/properties" xmlns:ns2="20c50c50-85d6-4dbf-a4fa-9b308b9d7854" xmlns:ns3="b942fd87-d02a-4be7-9073-633f1a144969" targetNamespace="http://schemas.microsoft.com/office/2006/metadata/properties" ma:root="true" ma:fieldsID="90293e1292ef82ed810b0d4650bed303" ns2:_="" ns3:_="">
    <xsd:import namespace="20c50c50-85d6-4dbf-a4fa-9b308b9d7854"/>
    <xsd:import namespace="b942fd87-d02a-4be7-9073-633f1a14496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c50c50-85d6-4dbf-a4fa-9b308b9d78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Tagi obrazów" ma:readOnly="false" ma:fieldId="{5cf76f15-5ced-4ddc-b409-7134ff3c332f}" ma:taxonomyMulti="true" ma:sspId="4c68d72a-88e3-4660-b75a-eb0b44bb3158"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942fd87-d02a-4be7-9073-633f1a144969" elementFormDefault="qualified">
    <xsd:import namespace="http://schemas.microsoft.com/office/2006/documentManagement/types"/>
    <xsd:import namespace="http://schemas.microsoft.com/office/infopath/2007/PartnerControls"/>
    <xsd:element name="SharedWithUsers" ma:index="10"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Udostępnione dla — szczegóły" ma:internalName="SharedWithDetails" ma:readOnly="true">
      <xsd:simpleType>
        <xsd:restriction base="dms:Note">
          <xsd:maxLength value="255"/>
        </xsd:restriction>
      </xsd:simpleType>
    </xsd:element>
    <xsd:element name="TaxCatchAll" ma:index="14" nillable="true" ma:displayName="Taxonomy Catch All Column" ma:hidden="true" ma:list="{c00783d9-dc51-4e2a-adce-9e34778ffcc6}" ma:internalName="TaxCatchAll" ma:showField="CatchAllData" ma:web="b942fd87-d02a-4be7-9073-633f1a14496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c50c50-85d6-4dbf-a4fa-9b308b9d7854">
      <Terms xmlns="http://schemas.microsoft.com/office/infopath/2007/PartnerControls"/>
    </lcf76f155ced4ddcb4097134ff3c332f>
    <TaxCatchAll xmlns="b942fd87-d02a-4be7-9073-633f1a144969" xsi:nil="true"/>
  </documentManagement>
</p:properties>
</file>

<file path=customXml/itemProps1.xml><?xml version="1.0" encoding="utf-8"?>
<ds:datastoreItem xmlns:ds="http://schemas.openxmlformats.org/officeDocument/2006/customXml" ds:itemID="{8666C04A-4EDF-41EB-857B-F4EAA8085098}"/>
</file>

<file path=customXml/itemProps2.xml><?xml version="1.0" encoding="utf-8"?>
<ds:datastoreItem xmlns:ds="http://schemas.openxmlformats.org/officeDocument/2006/customXml" ds:itemID="{4949A0B5-08A1-437F-A236-33351DFB130C}"/>
</file>

<file path=customXml/itemProps3.xml><?xml version="1.0" encoding="utf-8"?>
<ds:datastoreItem xmlns:ds="http://schemas.openxmlformats.org/officeDocument/2006/customXml" ds:itemID="{1D8C0CE3-E76A-4DC1-929B-7AE60158457F}"/>
</file>

<file path=docProps/app.xml><?xml version="1.0" encoding="utf-8"?>
<Properties xmlns="http://schemas.openxmlformats.org/officeDocument/2006/extended-properties" xmlns:vt="http://schemas.openxmlformats.org/officeDocument/2006/docPropsVTypes">
  <Template>Normal</Template>
  <TotalTime>0</TotalTime>
  <Pages>5</Pages>
  <Words>1152</Words>
  <Characters>6918</Characters>
  <Application>Microsoft Office Word</Application>
  <DocSecurity>0</DocSecurity>
  <Lines>57</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Kalinowska Katarzyna</dc:creator>
  <cp:keywords/>
  <dc:description/>
  <cp:lastModifiedBy>Anna Bielec</cp:lastModifiedBy>
  <cp:revision>2</cp:revision>
  <dcterms:created xsi:type="dcterms:W3CDTF">2023-05-22T12:30:00Z</dcterms:created>
  <dcterms:modified xsi:type="dcterms:W3CDTF">2023-05-22T12:30:00Z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0x01010048F169A9D9551F458BA34AAC49C9CB85</vt:lpwstr>
  </property>
</Properties>
</file>