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AD91A" w14:textId="05522129" w:rsidR="00A77B3E" w:rsidRDefault="00627A7A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E34E2D">
        <w:rPr>
          <w:b/>
          <w:caps/>
        </w:rPr>
        <w:t>26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392785E6" w14:textId="77777777" w:rsidR="00A77B3E" w:rsidRDefault="00627A7A">
      <w:pPr>
        <w:spacing w:before="280" w:after="280"/>
        <w:jc w:val="center"/>
        <w:rPr>
          <w:b/>
          <w:caps/>
        </w:rPr>
      </w:pPr>
      <w:r>
        <w:t>z dnia 18 kwietnia 2023 r.</w:t>
      </w:r>
    </w:p>
    <w:p w14:paraId="3C489F06" w14:textId="77777777" w:rsidR="00A77B3E" w:rsidRDefault="00627A7A">
      <w:pPr>
        <w:keepNext/>
        <w:spacing w:after="480"/>
        <w:jc w:val="center"/>
      </w:pPr>
      <w:r>
        <w:rPr>
          <w:b/>
        </w:rPr>
        <w:t>zmieniająca uchwałę w sprawie regulaminu działalności Kanclerza Akademii i Kancelarii Akademii</w:t>
      </w:r>
    </w:p>
    <w:p w14:paraId="0DB76EF5" w14:textId="77777777" w:rsidR="00627A7A" w:rsidRDefault="00627A7A">
      <w:pPr>
        <w:keepLines/>
        <w:spacing w:before="120" w:after="120"/>
        <w:ind w:firstLine="227"/>
      </w:pPr>
    </w:p>
    <w:p w14:paraId="4909742F" w14:textId="51286473" w:rsidR="00A77B3E" w:rsidRDefault="00627A7A">
      <w:pPr>
        <w:keepLines/>
        <w:spacing w:before="120" w:after="120"/>
        <w:ind w:firstLine="227"/>
      </w:pPr>
      <w:r>
        <w:t>Na podstawie art. 26 ust. 3 ustawy z dnia 30 kwietnia 2010 r. o Polskiej Akademii Nauk (Dz. U. z 2020 r. poz. 1796) uchwala się, co następuje:</w:t>
      </w:r>
    </w:p>
    <w:p w14:paraId="15A27981" w14:textId="77777777" w:rsidR="00627A7A" w:rsidRDefault="00627A7A">
      <w:pPr>
        <w:keepLines/>
        <w:spacing w:before="120" w:after="120"/>
        <w:ind w:firstLine="227"/>
      </w:pPr>
    </w:p>
    <w:p w14:paraId="0ABB0219" w14:textId="77777777" w:rsidR="00690C20" w:rsidRDefault="00627A7A">
      <w:pPr>
        <w:keepNext/>
        <w:spacing w:before="280"/>
        <w:jc w:val="center"/>
      </w:pPr>
      <w:r>
        <w:rPr>
          <w:b/>
        </w:rPr>
        <w:t>§ 1. </w:t>
      </w:r>
    </w:p>
    <w:p w14:paraId="434C3673" w14:textId="77777777" w:rsidR="00A77B3E" w:rsidRDefault="00627A7A">
      <w:pPr>
        <w:keepLines/>
        <w:spacing w:before="120" w:after="120"/>
        <w:ind w:firstLine="340"/>
      </w:pPr>
      <w:r>
        <w:t>W Regulaminie działalności Kanclerza Akademii i Kancelarii Akademii, stanowiącym załącznik do uchwały Nr 54/2015 Prezydium Polskiej Akademii Nauk z dnia 22 września 2015 r. w sprawie regulaminu działalności Kanclerza Akademii i Kancelarii Akademii, zmienionej uchwałą Nr 1/2016 Prezydium Polskiej Akademii Nauk z dnia 19 stycznia 2016 r., uchwałą Nr 53/2016 Prezydium Polskiej Akademii Nauk z dnia 20 września 2016 r., uchwałą Nr 2/2017 Prezydium Polskiej Akademii Nauk z dnia 24 stycznia 2017 r., uchwałą Nr 58/2019 Prezydium Polskiej Akademii Nauk z dnia 17 września 2019 r. oraz uchwałą Nr 39/2020 Prezydium Polskiej Akademii Nauk z dnia 22 września 2020 r., uchwałą nr 9/2022 Prezydium Polskiej Akademii Nauk z dnia 15 marca 2022 r., uchwałą nr 12/2023 Prezydium Polskiej Akademii Nauk z dnia 21 lutego 2023 r. oraz uchwałą nr 15/2023 Prezydium Polskiej Akademii Nauk z dnia 14 marca 2023 r., zwanym dalej „Regulaminem”, wprowadza się następujące zmiany:</w:t>
      </w:r>
    </w:p>
    <w:p w14:paraId="5DD1AA8C" w14:textId="77777777" w:rsidR="00A77B3E" w:rsidRDefault="00627A7A">
      <w:pPr>
        <w:spacing w:before="120" w:after="120"/>
        <w:ind w:left="340" w:hanging="227"/>
      </w:pPr>
      <w:r>
        <w:t>1) w § 8:</w:t>
      </w:r>
    </w:p>
    <w:p w14:paraId="4F88B5B8" w14:textId="151C08A8" w:rsidR="00A77B3E" w:rsidRDefault="00627A7A">
      <w:pPr>
        <w:keepLines/>
        <w:spacing w:before="120" w:after="120"/>
        <w:ind w:left="567" w:hanging="227"/>
      </w:pPr>
      <w:r>
        <w:t>a) po pkt 2 dodaje się pkt 2a w brzmieniu:  "2a) Biuro Informatyki i Cyfryzacji";</w:t>
      </w:r>
    </w:p>
    <w:p w14:paraId="4AB02D28" w14:textId="6F84D0BF" w:rsidR="00A77B3E" w:rsidRDefault="00627A7A">
      <w:pPr>
        <w:keepLines/>
        <w:spacing w:before="120" w:after="120"/>
        <w:ind w:left="567" w:hanging="227"/>
      </w:pPr>
      <w:r>
        <w:t>b) pkt 3 otrzymuje brzmienie: „Biuro Majątkowe”;</w:t>
      </w:r>
    </w:p>
    <w:p w14:paraId="63C14526" w14:textId="77777777" w:rsidR="00A77B3E" w:rsidRDefault="00627A7A">
      <w:pPr>
        <w:keepLines/>
        <w:spacing w:before="120" w:after="120"/>
        <w:ind w:left="567" w:hanging="227"/>
      </w:pPr>
      <w:r>
        <w:t>c) po pkt 3 dodaje się pkt 3a w brzmieniu: "3a) Biuro Prawne";</w:t>
      </w:r>
    </w:p>
    <w:p w14:paraId="0886B90C" w14:textId="77777777" w:rsidR="00A77B3E" w:rsidRDefault="00627A7A">
      <w:pPr>
        <w:keepLines/>
        <w:spacing w:before="120" w:after="120"/>
        <w:ind w:left="567" w:hanging="227"/>
      </w:pPr>
      <w:r>
        <w:t>d) uchyla się pkt 8 i pkt 14;</w:t>
      </w:r>
    </w:p>
    <w:p w14:paraId="3375A69A" w14:textId="77777777" w:rsidR="00A77B3E" w:rsidRDefault="00627A7A">
      <w:pPr>
        <w:spacing w:before="120" w:after="120"/>
        <w:ind w:left="340" w:hanging="227"/>
      </w:pPr>
      <w:r>
        <w:t>2) po § 10 dodaje się § 10a w brzmieniu:</w:t>
      </w:r>
    </w:p>
    <w:p w14:paraId="43851FFC" w14:textId="77777777" w:rsidR="00A77B3E" w:rsidRDefault="00627A7A" w:rsidP="00816BBF">
      <w:pPr>
        <w:keepLines/>
        <w:spacing w:before="120" w:after="120"/>
        <w:ind w:left="453" w:firstLine="227"/>
      </w:pPr>
      <w:r>
        <w:t>„§ 10a. Do zakresu działania Biura Informatyki i Cyfryzacji należy w szczególności:</w:t>
      </w:r>
    </w:p>
    <w:p w14:paraId="6528EFAB" w14:textId="77777777" w:rsidR="00A77B3E" w:rsidRDefault="00627A7A">
      <w:pPr>
        <w:spacing w:before="120" w:after="120"/>
        <w:ind w:left="793" w:hanging="227"/>
      </w:pPr>
      <w:r>
        <w:t>1) opracowywanie strategii rozwoju struktur teleinformatycznych Akademii stanowiącej podstawę do podejmowania działań zmierzających do zapewnienia wysokiej wydajności oraz unifikacji rozwiązań teleinformatycznych stosowanych w Kancelarii PAN, Oddziałach Akademii i jednostkach organizacyjnych PAN nieposiadających osobowości prawnej;</w:t>
      </w:r>
    </w:p>
    <w:p w14:paraId="6E7F6D40" w14:textId="77777777" w:rsidR="00A77B3E" w:rsidRDefault="00627A7A">
      <w:pPr>
        <w:spacing w:before="120" w:after="120"/>
        <w:ind w:left="793" w:hanging="227"/>
      </w:pPr>
      <w:r>
        <w:t>2) prowadzenie spójnej polityki Kancelarii Akademii, Oddziałów PAN oraz jednostek organizacyjnych PAN nieposiadających osobowości prawnej w zakresie zabezpieczenia teleinformatycznego;</w:t>
      </w:r>
    </w:p>
    <w:p w14:paraId="298F334D" w14:textId="77777777" w:rsidR="00A77B3E" w:rsidRDefault="00627A7A">
      <w:pPr>
        <w:spacing w:before="120" w:after="120"/>
        <w:ind w:left="793" w:hanging="227"/>
      </w:pPr>
      <w:r>
        <w:t>3) tworzenie, rozwijanie i konsolidowanie systemów obiegu dokumentów elektronicznych;</w:t>
      </w:r>
    </w:p>
    <w:p w14:paraId="75AFDEF8" w14:textId="77777777" w:rsidR="00A77B3E" w:rsidRDefault="00627A7A">
      <w:pPr>
        <w:spacing w:before="120" w:after="120"/>
        <w:ind w:left="793" w:hanging="227"/>
      </w:pPr>
      <w:r>
        <w:t>4) zarządzanie zasobami danych i informacji przetwarzanych w systemach teleinformatycznych;</w:t>
      </w:r>
    </w:p>
    <w:p w14:paraId="7709D3AA" w14:textId="77777777" w:rsidR="00A77B3E" w:rsidRDefault="00627A7A">
      <w:pPr>
        <w:spacing w:before="120" w:after="120"/>
        <w:ind w:left="793" w:hanging="227"/>
      </w:pPr>
      <w:r>
        <w:t>5) wyznaczanie standardów w zakresie zastosowania teleinformatyki;</w:t>
      </w:r>
    </w:p>
    <w:p w14:paraId="4F0A1F76" w14:textId="77777777" w:rsidR="00A77B3E" w:rsidRDefault="00627A7A">
      <w:pPr>
        <w:spacing w:before="120" w:after="120"/>
        <w:ind w:left="793" w:hanging="227"/>
      </w:pPr>
      <w:r>
        <w:t>6) prowadzenie prac rozwojowych, implementacyjnych, wdrożeniowych i eksploatacyjnych w zakresie wspomagania zarządzania Akademią i jej jednostkami organizacyjnymi nieposiadającymi osobowości prawnej za pomocą technologii teleinformatycznych;</w:t>
      </w:r>
    </w:p>
    <w:p w14:paraId="5265D1B3" w14:textId="77777777" w:rsidR="00A77B3E" w:rsidRDefault="00627A7A">
      <w:pPr>
        <w:spacing w:before="120" w:after="120"/>
        <w:ind w:left="793" w:hanging="227"/>
      </w:pPr>
      <w:r>
        <w:lastRenderedPageBreak/>
        <w:t>7) koordynowanie obsługi technicznej portali informacyjnych Akademii i jej jednostek organizacyjnych nieposiadających osobowości prawnej;</w:t>
      </w:r>
    </w:p>
    <w:p w14:paraId="272AA615" w14:textId="77777777" w:rsidR="00A77B3E" w:rsidRDefault="00627A7A">
      <w:pPr>
        <w:spacing w:before="120" w:after="120"/>
        <w:ind w:left="793" w:hanging="227"/>
      </w:pPr>
      <w:r>
        <w:t>8) utrzymywanie sprzętowej warstwy systemów wykorzystywanych w Akademii;</w:t>
      </w:r>
    </w:p>
    <w:p w14:paraId="2A32363E" w14:textId="77777777" w:rsidR="00A77B3E" w:rsidRDefault="00627A7A">
      <w:pPr>
        <w:spacing w:before="120" w:after="120"/>
        <w:ind w:left="793" w:hanging="227"/>
      </w:pPr>
      <w:r>
        <w:t>9) zarządzanie zasobami sprzętu informatycznego, w tym zapewnienie i utrzymanie ciągłości jego działania;</w:t>
      </w:r>
    </w:p>
    <w:p w14:paraId="6357AE5B" w14:textId="77777777" w:rsidR="00A77B3E" w:rsidRDefault="00627A7A">
      <w:pPr>
        <w:spacing w:before="120" w:after="120"/>
        <w:ind w:left="793" w:hanging="227"/>
      </w:pPr>
      <w:r>
        <w:t xml:space="preserve">10) prowadzenie polityki unifikacji sprzętowej i systemowej Kancelarii, Oddziałów Akademii i jednostek organizacyjnych PAN </w:t>
      </w:r>
      <w:bookmarkStart w:id="0" w:name="_Hlk132284647"/>
      <w:r>
        <w:t>nieposiadających osobowości prawnej</w:t>
      </w:r>
      <w:bookmarkEnd w:id="0"/>
      <w:r>
        <w:t>;</w:t>
      </w:r>
    </w:p>
    <w:p w14:paraId="35C8BDFD" w14:textId="77777777" w:rsidR="00A77B3E" w:rsidRDefault="00627A7A">
      <w:pPr>
        <w:spacing w:before="120" w:after="120"/>
        <w:ind w:left="793" w:hanging="227"/>
      </w:pPr>
      <w:r>
        <w:t>11) zapewnianie prawidłowego funkcjonowania systemów baz danych, serwerów i urządzeń sieciowych wraz z ich administrowaniem;</w:t>
      </w:r>
    </w:p>
    <w:p w14:paraId="712D6015" w14:textId="77777777" w:rsidR="00A77B3E" w:rsidRDefault="00627A7A">
      <w:pPr>
        <w:spacing w:before="120" w:after="120"/>
        <w:ind w:left="793" w:hanging="227"/>
      </w:pPr>
      <w:r>
        <w:t>12) zapewnianie łączności teleinformatycznej w Kancelarii PAN i Oddziałach Akademii, oraz projektowanie i koordynowanie działań w tym zakresie;</w:t>
      </w:r>
    </w:p>
    <w:p w14:paraId="74CC0946" w14:textId="77777777" w:rsidR="00A77B3E" w:rsidRDefault="00627A7A">
      <w:pPr>
        <w:spacing w:before="120" w:after="120"/>
        <w:ind w:left="793" w:hanging="227"/>
      </w:pPr>
      <w:r>
        <w:t>13) obsługa techniczna posiedzeń organów Akademii w zakresie stosowanych technik audiowizualnych;</w:t>
      </w:r>
    </w:p>
    <w:p w14:paraId="528CC82D" w14:textId="77777777" w:rsidR="00A77B3E" w:rsidRDefault="00627A7A">
      <w:pPr>
        <w:spacing w:before="120" w:after="120"/>
        <w:ind w:left="793" w:hanging="227"/>
      </w:pPr>
      <w:r>
        <w:t>14) uczestniczenie w przygotowaniu projektu oraz w realizacji planu finansowego Akademii w zakresie ustalonym w odrębnych przepisach;</w:t>
      </w:r>
    </w:p>
    <w:p w14:paraId="7DE84906" w14:textId="77777777" w:rsidR="00A77B3E" w:rsidRDefault="00627A7A">
      <w:pPr>
        <w:spacing w:before="120" w:after="120"/>
        <w:ind w:left="793" w:hanging="227"/>
      </w:pPr>
      <w:r>
        <w:t>15) prowadzenie polityki licencyjnej oprogramowania Akademii i jej jednostek organizacyjnych nieposiadających osobowości prawnej;</w:t>
      </w:r>
    </w:p>
    <w:p w14:paraId="534673D9" w14:textId="77777777" w:rsidR="00A77B3E" w:rsidRDefault="00627A7A">
      <w:pPr>
        <w:spacing w:before="120" w:after="120"/>
        <w:ind w:left="793" w:hanging="227"/>
      </w:pPr>
      <w:r>
        <w:t>16) administrowanie elementami czynnymi i biernymi szkieletowej infrastruktury teleinformatycznej (łącza, urządzenia sieciowe, struktura połączeń sieci szkieletowej);</w:t>
      </w:r>
    </w:p>
    <w:p w14:paraId="50D731A9" w14:textId="77777777" w:rsidR="00A77B3E" w:rsidRDefault="00627A7A">
      <w:pPr>
        <w:spacing w:before="120" w:after="120"/>
        <w:ind w:left="793" w:hanging="227"/>
      </w:pPr>
      <w:r>
        <w:t>17) administrowanie zasobami logicznymi szkieletowej sieci komputerowej (publiczne adresy IP, domena „pan.pl” i inne domeny wykorzystywane przez Akademie i jej jednostki organizacyjne nieposiadające osobowości prawnej, katalogowe bazy danych, itp.) serwerami wraz z urządzeniami peryferyjnymi (systemami archiwizacji danych, systemami zasilania, urządzeniami i systemami bezpieczeństwa, itp.) wykorzystywanymi na potrzeby systemów teleinformatycznych oprogramowaniem systemowym (systemami operacyjnymi i serwerami aplikacyjnymi, itp.), narzędziowym (systemami zarządzania bazami danych, itp.) i pomocniczym (stosowanym do celów diagnostyki, monitorowania i zarządzania zasobami oraz funkcjami użytkowymi, itp.) wykorzystywanym na potrzeby systemów teleinformatycznych;</w:t>
      </w:r>
    </w:p>
    <w:p w14:paraId="6A98F476" w14:textId="77777777" w:rsidR="00A77B3E" w:rsidRDefault="00627A7A">
      <w:pPr>
        <w:spacing w:before="120" w:after="120"/>
        <w:ind w:left="793" w:hanging="227"/>
        <w:rPr>
          <w:color w:val="000000"/>
          <w:u w:color="000000"/>
        </w:rPr>
      </w:pPr>
      <w:r>
        <w:t>18) administrowanie komputerowymi stanowiskami pracy (stacje robocze z urządzeniami peryferyjnymi i oprogramowaniem standardowym: systemowym, biurowym, pomocniczym oraz niestandardowym, związanym ze specyfiką zadań przypisanych do danego stanowiska).</w:t>
      </w:r>
      <w:r>
        <w:rPr>
          <w:b/>
          <w:color w:val="000000"/>
          <w:u w:color="000000"/>
        </w:rPr>
        <w:t>”</w:t>
      </w:r>
      <w:r>
        <w:t>;</w:t>
      </w:r>
    </w:p>
    <w:p w14:paraId="08E74B6E" w14:textId="77777777" w:rsidR="00A77B3E" w:rsidRDefault="00627A7A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§ 11:</w:t>
      </w:r>
    </w:p>
    <w:p w14:paraId="2C457867" w14:textId="77777777" w:rsidR="00A77B3E" w:rsidRDefault="00627A7A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 zdaniu wstępnym wyrazy "Biuro Organizacyjno-Majątkowe" zastępuje się wyrazami "Biuro Majątkowe",</w:t>
      </w:r>
    </w:p>
    <w:p w14:paraId="0028DF2A" w14:textId="77777777" w:rsidR="00A77B3E" w:rsidRDefault="00627A7A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uchyla się pkt 1-4,</w:t>
      </w:r>
    </w:p>
    <w:p w14:paraId="3B05F645" w14:textId="77777777" w:rsidR="00A77B3E" w:rsidRDefault="00627A7A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pkt 17 i 18 otrzymują brzmienie:</w:t>
      </w:r>
    </w:p>
    <w:p w14:paraId="6EC58EC1" w14:textId="77777777" w:rsidR="00A77B3E" w:rsidRDefault="00627A7A">
      <w:pPr>
        <w:spacing w:before="120" w:after="120"/>
        <w:ind w:left="1020" w:hanging="340"/>
        <w:rPr>
          <w:color w:val="000000"/>
          <w:u w:color="000000"/>
        </w:rPr>
      </w:pPr>
      <w:r>
        <w:t>„17) </w:t>
      </w:r>
      <w:r>
        <w:rPr>
          <w:color w:val="000000"/>
          <w:u w:color="000000"/>
        </w:rPr>
        <w:t>merytoryczne przygotowywanie projektów decyzji administracyjnych i umów</w:t>
      </w:r>
      <w:r>
        <w:rPr>
          <w:color w:val="000000"/>
          <w:u w:color="000000"/>
        </w:rPr>
        <w:br/>
        <w:t>w zakresie gospodarowania nieruchomościami stanowiącymi własność lub będącymi w wieczystym użytkowaniu Akademii;</w:t>
      </w:r>
    </w:p>
    <w:p w14:paraId="2C027A99" w14:textId="77777777" w:rsidR="00A77B3E" w:rsidRDefault="00627A7A">
      <w:pPr>
        <w:spacing w:before="120" w:after="120"/>
        <w:ind w:left="102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przygotowywanie projektów uchwał Prezydium i Zgromadzenia Ogólnego Akademii, decyzji Prezesa Akademii oraz zarządzeń Kanclerza Akademii wynikających z zakresu działania Biura;</w:t>
      </w:r>
      <w:r>
        <w:t>”,</w:t>
      </w:r>
    </w:p>
    <w:p w14:paraId="76261C6A" w14:textId="77777777" w:rsidR="00A77B3E" w:rsidRDefault="00627A7A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pkt 20 otrzymuje brzmienie:</w:t>
      </w:r>
    </w:p>
    <w:p w14:paraId="2F1D10BC" w14:textId="725D74EA" w:rsidR="00A77B3E" w:rsidRDefault="00627A7A">
      <w:pPr>
        <w:spacing w:before="120" w:after="120"/>
        <w:ind w:left="1020" w:hanging="340"/>
        <w:rPr>
          <w:color w:val="000000"/>
          <w:u w:color="000000"/>
        </w:rPr>
      </w:pPr>
      <w:r>
        <w:lastRenderedPageBreak/>
        <w:t>„20) </w:t>
      </w:r>
      <w:r>
        <w:rPr>
          <w:color w:val="000000"/>
          <w:u w:color="000000"/>
        </w:rPr>
        <w:t>przygotowywanie projektów oświadczeń oraz dokumentów wewnętrznych (procedury, zasady, wytyczne) w zakresie remontów i inwestycji budowlanych prowadzonych na nieruchomościach będących w wieczystym użytkowaniu Akademii lub stanowiących jej własność oraz nadzór i kontrola nad ich realizacją i przestrzeganiem;</w:t>
      </w:r>
      <w:r>
        <w:t>”,</w:t>
      </w:r>
    </w:p>
    <w:p w14:paraId="0917CA73" w14:textId="77777777" w:rsidR="00A77B3E" w:rsidRDefault="00627A7A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uchyla się pkt 25-28;</w:t>
      </w:r>
    </w:p>
    <w:p w14:paraId="70BE628F" w14:textId="77777777" w:rsidR="00A77B3E" w:rsidRDefault="00627A7A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 pkt 30 dodaje się pkt 31-33 w brzmieniu:</w:t>
      </w:r>
    </w:p>
    <w:p w14:paraId="52D7FE69" w14:textId="75B5A1DC" w:rsidR="00A77B3E" w:rsidRDefault="00627A7A">
      <w:pPr>
        <w:spacing w:before="120" w:after="120"/>
        <w:ind w:left="1020" w:hanging="340"/>
        <w:rPr>
          <w:color w:val="000000"/>
          <w:u w:color="000000"/>
        </w:rPr>
      </w:pPr>
      <w:r>
        <w:t>„31) </w:t>
      </w:r>
      <w:r>
        <w:rPr>
          <w:color w:val="000000"/>
          <w:u w:color="000000"/>
        </w:rPr>
        <w:tab/>
        <w:t>gospodarowanie nieruchomościami stanowiącymi własność lub oddanych w użytkowanie wieczyste Akademii, w tym lokalami mieszkalnymi;</w:t>
      </w:r>
    </w:p>
    <w:p w14:paraId="4347E2BA" w14:textId="72C4D991" w:rsidR="00A77B3E" w:rsidRDefault="00627A7A">
      <w:pPr>
        <w:spacing w:before="120" w:after="120"/>
        <w:ind w:left="1020" w:hanging="227"/>
        <w:rPr>
          <w:color w:val="000000"/>
          <w:u w:color="000000"/>
        </w:rPr>
      </w:pPr>
      <w:r>
        <w:t>32) </w:t>
      </w:r>
      <w:r>
        <w:rPr>
          <w:color w:val="000000"/>
          <w:u w:color="000000"/>
        </w:rPr>
        <w:tab/>
        <w:t>opiniowanie wniosków oraz rozliczanie bezzwrotnych pomocy finansowych udzielanych jednostkom Akademii;</w:t>
      </w:r>
    </w:p>
    <w:p w14:paraId="37D1D895" w14:textId="77777777" w:rsidR="00A77B3E" w:rsidRDefault="00627A7A">
      <w:pPr>
        <w:spacing w:before="120" w:after="120"/>
        <w:ind w:left="1020" w:hanging="227"/>
        <w:rPr>
          <w:color w:val="000000"/>
          <w:u w:color="000000"/>
        </w:rPr>
      </w:pPr>
      <w:r>
        <w:t>33) </w:t>
      </w:r>
      <w:r>
        <w:rPr>
          <w:color w:val="000000"/>
          <w:u w:color="000000"/>
        </w:rPr>
        <w:tab/>
        <w:t>prowadzenie spraw związanych z podatkami i opłatami administracyjnymi dla nieruchomości pozostających na stanie PAN - osoby prawnej (nie przekazanych w użyczenie bądź zarządzanie jednostkom Akademii).</w:t>
      </w:r>
      <w:r>
        <w:t>”;</w:t>
      </w:r>
    </w:p>
    <w:p w14:paraId="086E8BE6" w14:textId="77777777" w:rsidR="00A77B3E" w:rsidRDefault="00627A7A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 § 11 dodaje się § 11a w brzmieniu:</w:t>
      </w:r>
    </w:p>
    <w:p w14:paraId="13F999C6" w14:textId="77777777" w:rsidR="00A77B3E" w:rsidRDefault="00627A7A" w:rsidP="00816BBF">
      <w:pPr>
        <w:keepLines/>
        <w:spacing w:before="120" w:after="120"/>
        <w:ind w:left="453" w:firstLine="227"/>
        <w:rPr>
          <w:color w:val="000000"/>
          <w:u w:color="000000"/>
        </w:rPr>
      </w:pPr>
      <w:r>
        <w:t>„§ 11a. </w:t>
      </w:r>
      <w:r>
        <w:rPr>
          <w:color w:val="000000"/>
          <w:u w:color="000000"/>
        </w:rPr>
        <w:t>Do zakresu działania Biura Prawnego należy w szczególności:</w:t>
      </w:r>
    </w:p>
    <w:p w14:paraId="698D02A4" w14:textId="540F6BC2" w:rsidR="00A77B3E" w:rsidRDefault="00627A7A">
      <w:pPr>
        <w:spacing w:before="120" w:after="120"/>
        <w:ind w:left="793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ab/>
        <w:t>występowanie w imieniu Akademii przed sądami, prokuratorem, organami administracji państwowej i samorządowej i innymi urzędami, w każdym trybie postępowania na podstawie udzielonych pełnomocnictw;</w:t>
      </w:r>
    </w:p>
    <w:p w14:paraId="61AB32E1" w14:textId="3A186537" w:rsidR="00A77B3E" w:rsidRDefault="00627A7A">
      <w:pPr>
        <w:spacing w:before="120" w:after="120"/>
        <w:ind w:left="793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udzielanie opinii prawnych i wyjaśnień dotyczących przepisów prawa </w:t>
      </w:r>
      <w:r w:rsidR="00D865F5">
        <w:rPr>
          <w:color w:val="000000"/>
          <w:u w:color="000000"/>
        </w:rPr>
        <w:t xml:space="preserve">kierownikom komórek </w:t>
      </w:r>
      <w:r>
        <w:rPr>
          <w:color w:val="000000"/>
          <w:u w:color="000000"/>
        </w:rPr>
        <w:t xml:space="preserve">Kancelarii Akademii, jednostek naukowych Akademii </w:t>
      </w:r>
      <w:r w:rsidRPr="00627A7A">
        <w:rPr>
          <w:color w:val="000000"/>
          <w:u w:color="000000"/>
        </w:rPr>
        <w:t xml:space="preserve">nieposiadających osobowości prawnej </w:t>
      </w:r>
      <w:r>
        <w:rPr>
          <w:color w:val="000000"/>
          <w:u w:color="000000"/>
        </w:rPr>
        <w:t>i innych jednostek organizacyjnych Akademii w zakresie działalności Akademii</w:t>
      </w:r>
      <w:r w:rsidR="00C30BBF">
        <w:rPr>
          <w:color w:val="000000"/>
          <w:u w:color="000000"/>
        </w:rPr>
        <w:t xml:space="preserve">, a także </w:t>
      </w:r>
      <w:r>
        <w:rPr>
          <w:color w:val="000000"/>
          <w:u w:color="000000"/>
        </w:rPr>
        <w:t>na zlecenie Kanclerza Akademii;</w:t>
      </w:r>
    </w:p>
    <w:p w14:paraId="7FCBD1C1" w14:textId="142B4788" w:rsidR="00A77B3E" w:rsidRDefault="00627A7A">
      <w:pPr>
        <w:spacing w:before="120" w:after="120"/>
        <w:ind w:left="793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opiniowanie projektów umów i porozumień Akademii przygotowywanych przez merytoryczne komórki Kancelarii Akademii i jednostki organizacyjne Akademii</w:t>
      </w:r>
      <w:r w:rsidRPr="00627A7A">
        <w:rPr>
          <w:color w:val="000000"/>
          <w:u w:color="000000"/>
        </w:rPr>
        <w:t xml:space="preserve"> nieposiadając</w:t>
      </w:r>
      <w:r>
        <w:rPr>
          <w:color w:val="000000"/>
          <w:u w:color="000000"/>
        </w:rPr>
        <w:t>e</w:t>
      </w:r>
      <w:r w:rsidRPr="00627A7A">
        <w:rPr>
          <w:color w:val="000000"/>
          <w:u w:color="000000"/>
        </w:rPr>
        <w:t xml:space="preserve"> osobowości prawnej</w:t>
      </w:r>
      <w:r>
        <w:rPr>
          <w:color w:val="000000"/>
          <w:u w:color="000000"/>
        </w:rPr>
        <w:t>;</w:t>
      </w:r>
    </w:p>
    <w:p w14:paraId="6F1D87DC" w14:textId="55D8349E" w:rsidR="00A77B3E" w:rsidRDefault="00C85066">
      <w:pPr>
        <w:spacing w:before="120" w:after="120"/>
        <w:ind w:left="793" w:hanging="227"/>
        <w:rPr>
          <w:color w:val="000000"/>
          <w:u w:color="000000"/>
        </w:rPr>
      </w:pPr>
      <w:r>
        <w:t>4</w:t>
      </w:r>
      <w:r w:rsidR="00627A7A">
        <w:t>) </w:t>
      </w:r>
      <w:r w:rsidR="00627A7A">
        <w:rPr>
          <w:color w:val="000000"/>
          <w:u w:color="000000"/>
        </w:rPr>
        <w:t>opiniowanie projektów decyzji Prezesa Akademii, zarządzeń Kanclerza Akademii, uchwał Prezydium i Zgromadzenia Ogólnego Akademii;</w:t>
      </w:r>
    </w:p>
    <w:p w14:paraId="5AF20140" w14:textId="0EDF0BBD" w:rsidR="00A77B3E" w:rsidRDefault="00C85066">
      <w:pPr>
        <w:spacing w:before="120" w:after="120"/>
        <w:ind w:left="793" w:hanging="227"/>
        <w:rPr>
          <w:color w:val="000000"/>
          <w:u w:color="000000"/>
        </w:rPr>
      </w:pPr>
      <w:r>
        <w:t>5</w:t>
      </w:r>
      <w:r w:rsidR="00627A7A">
        <w:t>) </w:t>
      </w:r>
      <w:r w:rsidR="00627A7A">
        <w:rPr>
          <w:color w:val="000000"/>
          <w:u w:color="000000"/>
        </w:rPr>
        <w:t>pomoc prawna jednostkom Akademii nieposiadającym osobowości prawnej;</w:t>
      </w:r>
    </w:p>
    <w:p w14:paraId="1126D7AF" w14:textId="1DD212DA" w:rsidR="00A77B3E" w:rsidRDefault="00C85066">
      <w:pPr>
        <w:spacing w:before="120" w:after="120"/>
        <w:ind w:left="793" w:hanging="227"/>
        <w:rPr>
          <w:color w:val="000000"/>
          <w:u w:color="000000"/>
        </w:rPr>
      </w:pPr>
      <w:r>
        <w:t>6</w:t>
      </w:r>
      <w:r w:rsidR="00627A7A">
        <w:t>) </w:t>
      </w:r>
      <w:r w:rsidR="00627A7A">
        <w:rPr>
          <w:color w:val="000000"/>
          <w:u w:color="000000"/>
        </w:rPr>
        <w:t>opiniowanie dokumentów związanych z utworzeniem, reorganizacją, połączeniem, podziałem, likwidacją jednostek naukowych Akademii i innych jednostek organizacyjnych Akademii;</w:t>
      </w:r>
    </w:p>
    <w:p w14:paraId="1A2D097A" w14:textId="1F2A00BA" w:rsidR="00A77B3E" w:rsidRDefault="00C85066">
      <w:pPr>
        <w:spacing w:before="120" w:after="120"/>
        <w:ind w:left="793" w:hanging="227"/>
        <w:rPr>
          <w:color w:val="000000"/>
          <w:u w:color="000000"/>
        </w:rPr>
      </w:pPr>
      <w:r>
        <w:t>7</w:t>
      </w:r>
      <w:r w:rsidR="00627A7A">
        <w:t>) </w:t>
      </w:r>
      <w:r w:rsidR="00627A7A">
        <w:rPr>
          <w:color w:val="000000"/>
          <w:u w:color="000000"/>
        </w:rPr>
        <w:t>regulacja i aktualizacja stanu prawnego nieruchomości Akademii we współpracy z Biurem Majątkowym;</w:t>
      </w:r>
    </w:p>
    <w:p w14:paraId="140E5402" w14:textId="789DDC83" w:rsidR="00A77B3E" w:rsidRDefault="00C85066">
      <w:pPr>
        <w:spacing w:before="120" w:after="120"/>
        <w:ind w:left="793" w:hanging="227"/>
        <w:rPr>
          <w:color w:val="000000"/>
          <w:u w:color="000000"/>
        </w:rPr>
      </w:pPr>
      <w:r>
        <w:t>8</w:t>
      </w:r>
      <w:r w:rsidR="00627A7A">
        <w:t>) </w:t>
      </w:r>
      <w:r w:rsidR="00627A7A">
        <w:rPr>
          <w:color w:val="000000"/>
          <w:u w:color="000000"/>
        </w:rPr>
        <w:t>prowadzenie spraw związanych z ochroną własności intelektualnej, ochrony danych osobowych, RODO, praw autorskich i praw pokrewnych, a także komercjalizacją wyników badań naukowych a także zagadnienia z zakresu finansowania nauki;</w:t>
      </w:r>
    </w:p>
    <w:p w14:paraId="04B97FB6" w14:textId="5B217C08" w:rsidR="00A77B3E" w:rsidRDefault="00C85066">
      <w:pPr>
        <w:spacing w:before="120" w:after="120"/>
        <w:ind w:left="793" w:hanging="227"/>
        <w:rPr>
          <w:color w:val="000000"/>
          <w:u w:color="000000"/>
        </w:rPr>
      </w:pPr>
      <w:r>
        <w:t>9</w:t>
      </w:r>
      <w:r w:rsidR="00627A7A">
        <w:t>) </w:t>
      </w:r>
      <w:r w:rsidR="00627A7A">
        <w:rPr>
          <w:color w:val="000000"/>
          <w:u w:color="000000"/>
        </w:rPr>
        <w:t>opracowywanie projektów aktów prawnych dotyczących działalności Akademii oraz opiniowanie i udział w pracach legislacyjnych nad projektami aktów prawnych dotyczących Akademii, nauki i szkolnictwa wyższego;</w:t>
      </w:r>
    </w:p>
    <w:p w14:paraId="5B651852" w14:textId="2EA03538" w:rsidR="00A77B3E" w:rsidRDefault="00C85066">
      <w:pPr>
        <w:spacing w:before="120" w:after="120"/>
        <w:ind w:left="793" w:hanging="227"/>
        <w:rPr>
          <w:color w:val="000000"/>
          <w:u w:color="000000"/>
        </w:rPr>
      </w:pPr>
      <w:r>
        <w:t>10</w:t>
      </w:r>
      <w:r w:rsidR="00627A7A">
        <w:t>) </w:t>
      </w:r>
      <w:r w:rsidR="00627A7A">
        <w:rPr>
          <w:color w:val="000000"/>
          <w:u w:color="000000"/>
        </w:rPr>
        <w:t>uczestniczenie w przygotowaniu projektu oraz w realizacji planu finansowego Akademii w zakresie ustalonym w odrębnych przepisach;</w:t>
      </w:r>
    </w:p>
    <w:p w14:paraId="5062EC43" w14:textId="532677EA" w:rsidR="00A77B3E" w:rsidRDefault="00C85066">
      <w:pPr>
        <w:spacing w:before="120" w:after="120"/>
        <w:ind w:left="793" w:hanging="227"/>
        <w:rPr>
          <w:color w:val="000000"/>
          <w:u w:color="000000"/>
        </w:rPr>
      </w:pPr>
      <w:r>
        <w:t>11</w:t>
      </w:r>
      <w:r w:rsidR="00627A7A">
        <w:t>) </w:t>
      </w:r>
      <w:r w:rsidR="00627A7A">
        <w:rPr>
          <w:color w:val="000000"/>
          <w:u w:color="000000"/>
        </w:rPr>
        <w:t>realizacja powierzonych przez Kanclerza Akademii zadań i obowiązków dysponenta określonych środków finansowych;</w:t>
      </w:r>
    </w:p>
    <w:p w14:paraId="7E0EA472" w14:textId="05D32C4B" w:rsidR="00A77B3E" w:rsidRDefault="00C85066">
      <w:pPr>
        <w:spacing w:before="120" w:after="120"/>
        <w:ind w:left="793" w:hanging="227"/>
        <w:rPr>
          <w:color w:val="000000"/>
          <w:u w:color="000000"/>
        </w:rPr>
      </w:pPr>
      <w:r>
        <w:t>12</w:t>
      </w:r>
      <w:r w:rsidR="00627A7A">
        <w:t>) </w:t>
      </w:r>
      <w:r w:rsidR="00627A7A">
        <w:rPr>
          <w:color w:val="000000"/>
          <w:u w:color="000000"/>
        </w:rPr>
        <w:t>obsługa komisji dyscyplinarnej drugiej instancji dla wszystkich pracowników naukowych Akademii;</w:t>
      </w:r>
    </w:p>
    <w:p w14:paraId="12C7AF04" w14:textId="1156FC63" w:rsidR="00A77B3E" w:rsidRDefault="00C85066">
      <w:pPr>
        <w:spacing w:before="120" w:after="120"/>
        <w:ind w:left="793" w:hanging="227"/>
        <w:rPr>
          <w:color w:val="000000"/>
          <w:u w:color="000000"/>
        </w:rPr>
      </w:pPr>
      <w:r>
        <w:lastRenderedPageBreak/>
        <w:t>13</w:t>
      </w:r>
      <w:r w:rsidR="00627A7A">
        <w:t>) </w:t>
      </w:r>
      <w:r w:rsidR="00627A7A">
        <w:rPr>
          <w:color w:val="000000"/>
          <w:u w:color="000000"/>
        </w:rPr>
        <w:t>przygotowywanie i ewidencja upoważnień do przetwarzania danych osobowych;</w:t>
      </w:r>
    </w:p>
    <w:p w14:paraId="238507EE" w14:textId="1EBA1D2E" w:rsidR="00A77B3E" w:rsidRDefault="00C85066">
      <w:pPr>
        <w:spacing w:before="120" w:after="120"/>
        <w:ind w:left="793" w:hanging="227"/>
        <w:rPr>
          <w:color w:val="000000"/>
          <w:u w:color="000000"/>
        </w:rPr>
      </w:pPr>
      <w:r>
        <w:t>14</w:t>
      </w:r>
      <w:r w:rsidR="00627A7A">
        <w:t>) </w:t>
      </w:r>
      <w:r>
        <w:t xml:space="preserve">opiniowanie i </w:t>
      </w:r>
      <w:r w:rsidR="00627A7A">
        <w:rPr>
          <w:color w:val="000000"/>
          <w:u w:color="000000"/>
        </w:rPr>
        <w:t>prowadzenie pod względem merytorycznym spraw związanych z:</w:t>
      </w:r>
    </w:p>
    <w:p w14:paraId="418DF42D" w14:textId="77777777" w:rsidR="00A77B3E" w:rsidRDefault="00627A7A">
      <w:pPr>
        <w:keepLines/>
        <w:spacing w:before="120" w:after="120"/>
        <w:ind w:left="1020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tworzeniem, łączeniem i przekształcaniem spółek handlowych z udziałem Akademii, przystępowaniem przez Akademię do spółek oraz zbywaniem udziałów lub akcji Akademii w spółkach,</w:t>
      </w:r>
    </w:p>
    <w:p w14:paraId="7DDD3D75" w14:textId="32FC5E2D" w:rsidR="00A77B3E" w:rsidRDefault="00627A7A">
      <w:pPr>
        <w:keepLines/>
        <w:spacing w:before="120" w:after="120"/>
        <w:ind w:left="1020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tworzeniem, reorganizacją, łączeniem, podziałem i likwidacją jednostek naukowych Akademii i innych jednostek organizacyjnych Akademii;</w:t>
      </w:r>
    </w:p>
    <w:p w14:paraId="16B5BD4A" w14:textId="7365EDDD" w:rsidR="009B62E4" w:rsidRDefault="009B62E4" w:rsidP="002477D1">
      <w:pPr>
        <w:spacing w:before="120" w:after="120"/>
        <w:ind w:left="793"/>
        <w:rPr>
          <w:color w:val="000000"/>
          <w:u w:color="000000"/>
        </w:rPr>
      </w:pPr>
      <w:r>
        <w:t>c)</w:t>
      </w:r>
      <w:r w:rsidRPr="009B62E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 wykonywaniem przez Akademię praw z akcji i udziałów.</w:t>
      </w:r>
    </w:p>
    <w:p w14:paraId="2B8BACEA" w14:textId="64FE3EA2" w:rsidR="00A77B3E" w:rsidRDefault="00C85066">
      <w:pPr>
        <w:spacing w:before="120" w:after="120"/>
        <w:ind w:left="793" w:hanging="227"/>
        <w:rPr>
          <w:color w:val="000000"/>
          <w:u w:color="000000"/>
        </w:rPr>
      </w:pPr>
      <w:r>
        <w:t>15</w:t>
      </w:r>
      <w:r w:rsidR="00627A7A">
        <w:t>) </w:t>
      </w:r>
      <w:r w:rsidR="00627A7A">
        <w:rPr>
          <w:color w:val="000000"/>
          <w:u w:color="000000"/>
        </w:rPr>
        <w:t>prowadzenie pod względem merytorycznym spraw związanych z fundacjami, których Akademia jest fundatorem;</w:t>
      </w:r>
    </w:p>
    <w:p w14:paraId="287546C7" w14:textId="03C8813B" w:rsidR="00A77B3E" w:rsidRDefault="00C85066">
      <w:pPr>
        <w:spacing w:before="120" w:after="120"/>
        <w:ind w:left="793" w:hanging="227"/>
        <w:rPr>
          <w:color w:val="000000"/>
          <w:u w:color="000000"/>
        </w:rPr>
      </w:pPr>
      <w:r>
        <w:t>16</w:t>
      </w:r>
      <w:r w:rsidR="00627A7A">
        <w:t>) </w:t>
      </w:r>
      <w:r w:rsidR="00627A7A">
        <w:rPr>
          <w:color w:val="000000"/>
          <w:u w:color="000000"/>
        </w:rPr>
        <w:t>opracowywanie, w tym we współpracy z innymi komórkami organizacyjnymi analiz na potrzeby, o których mowa w pkt. </w:t>
      </w:r>
      <w:r>
        <w:rPr>
          <w:color w:val="000000"/>
          <w:u w:color="000000"/>
        </w:rPr>
        <w:t>14</w:t>
      </w:r>
      <w:r w:rsidR="00627A7A">
        <w:rPr>
          <w:color w:val="000000"/>
          <w:u w:color="000000"/>
        </w:rPr>
        <w:t>-1</w:t>
      </w:r>
      <w:r w:rsidR="00284943">
        <w:rPr>
          <w:color w:val="000000"/>
          <w:u w:color="000000"/>
        </w:rPr>
        <w:t>5</w:t>
      </w:r>
      <w:r w:rsidR="00627A7A">
        <w:rPr>
          <w:color w:val="000000"/>
          <w:u w:color="000000"/>
        </w:rPr>
        <w:t>;</w:t>
      </w:r>
    </w:p>
    <w:p w14:paraId="36291BDB" w14:textId="609CA4AC" w:rsidR="00A77B3E" w:rsidRDefault="00C85066">
      <w:pPr>
        <w:spacing w:before="120" w:after="120"/>
        <w:ind w:left="793" w:hanging="227"/>
        <w:rPr>
          <w:color w:val="000000"/>
          <w:u w:color="000000"/>
        </w:rPr>
      </w:pPr>
      <w:r>
        <w:t>17</w:t>
      </w:r>
      <w:r w:rsidR="00627A7A">
        <w:t>) </w:t>
      </w:r>
      <w:r w:rsidR="00D865F5">
        <w:rPr>
          <w:color w:val="000000"/>
          <w:u w:color="000000"/>
        </w:rPr>
        <w:t xml:space="preserve"> opiniowanie </w:t>
      </w:r>
      <w:r w:rsidR="00D7406B">
        <w:rPr>
          <w:color w:val="000000"/>
          <w:u w:color="000000"/>
        </w:rPr>
        <w:t xml:space="preserve">i przygotowywanie </w:t>
      </w:r>
      <w:r w:rsidR="00627A7A">
        <w:rPr>
          <w:color w:val="000000"/>
          <w:u w:color="000000"/>
        </w:rPr>
        <w:t xml:space="preserve">we współpracy z merytorycznie właściwymi komórkami Kancelarii Akademii i jednostkami organizacyjnymi Akademii </w:t>
      </w:r>
      <w:r w:rsidR="00627A7A" w:rsidRPr="00627A7A">
        <w:rPr>
          <w:color w:val="000000"/>
          <w:u w:color="000000"/>
        </w:rPr>
        <w:t>nieposiadający</w:t>
      </w:r>
      <w:r w:rsidR="00627A7A">
        <w:rPr>
          <w:color w:val="000000"/>
          <w:u w:color="000000"/>
        </w:rPr>
        <w:t>mi</w:t>
      </w:r>
      <w:r w:rsidR="00627A7A" w:rsidRPr="00627A7A">
        <w:rPr>
          <w:color w:val="000000"/>
          <w:u w:color="000000"/>
        </w:rPr>
        <w:t xml:space="preserve"> osobowości prawnej</w:t>
      </w:r>
      <w:r w:rsidR="00D865F5">
        <w:rPr>
          <w:color w:val="000000"/>
          <w:u w:color="000000"/>
        </w:rPr>
        <w:t xml:space="preserve"> </w:t>
      </w:r>
      <w:r w:rsidR="00627A7A">
        <w:rPr>
          <w:color w:val="000000"/>
          <w:u w:color="000000"/>
        </w:rPr>
        <w:t>projektów pełnomocnictw i upoważnień udzielonych przez Prezesa i Kanclerza Akademi</w:t>
      </w:r>
      <w:r w:rsidR="00D7406B">
        <w:rPr>
          <w:color w:val="000000"/>
          <w:u w:color="000000"/>
        </w:rPr>
        <w:t>i</w:t>
      </w:r>
      <w:r w:rsidR="00627A7A">
        <w:rPr>
          <w:color w:val="000000"/>
          <w:u w:color="000000"/>
        </w:rPr>
        <w:t>;</w:t>
      </w:r>
    </w:p>
    <w:p w14:paraId="621E790C" w14:textId="746642A2" w:rsidR="00A77B3E" w:rsidRDefault="00C85066">
      <w:pPr>
        <w:spacing w:before="120" w:after="120"/>
        <w:ind w:left="793" w:hanging="227"/>
        <w:rPr>
          <w:color w:val="000000"/>
          <w:u w:color="000000"/>
        </w:rPr>
      </w:pPr>
      <w:r>
        <w:t>18</w:t>
      </w:r>
      <w:r w:rsidR="00627A7A">
        <w:t>) </w:t>
      </w:r>
      <w:r w:rsidR="00627A7A">
        <w:rPr>
          <w:color w:val="000000"/>
          <w:u w:color="000000"/>
        </w:rPr>
        <w:t>uwierzytelnianie dyplomów doktorskich i habilitacyjnych oraz ich duplikatów przeznaczonych do obrotu prawnego za granicą;</w:t>
      </w:r>
    </w:p>
    <w:p w14:paraId="4616AF0E" w14:textId="12172D20" w:rsidR="00A77B3E" w:rsidRDefault="00C85066">
      <w:pPr>
        <w:spacing w:before="120" w:after="120"/>
        <w:ind w:left="793" w:hanging="227"/>
        <w:rPr>
          <w:color w:val="000000"/>
          <w:u w:color="000000"/>
        </w:rPr>
      </w:pPr>
      <w:r>
        <w:t>19</w:t>
      </w:r>
      <w:r w:rsidR="00627A7A">
        <w:t>) </w:t>
      </w:r>
      <w:r w:rsidR="00627A7A">
        <w:rPr>
          <w:color w:val="000000"/>
          <w:u w:color="000000"/>
        </w:rPr>
        <w:t xml:space="preserve">opiniowanie statutów instytutów naukowych Akademii, prowadzenie rejestru instytutów naukowych Akademii oraz ewidencji jednostek organizacyjnych Akademii </w:t>
      </w:r>
      <w:r w:rsidR="00627A7A" w:rsidRPr="00627A7A">
        <w:rPr>
          <w:color w:val="000000"/>
          <w:u w:color="000000"/>
        </w:rPr>
        <w:t>nieposiadających osobowości prawnej</w:t>
      </w:r>
      <w:r w:rsidR="00627A7A">
        <w:rPr>
          <w:color w:val="000000"/>
          <w:u w:color="000000"/>
        </w:rPr>
        <w:t>, w tym REGON;</w:t>
      </w:r>
    </w:p>
    <w:p w14:paraId="6F4682ED" w14:textId="1E2AEA3C" w:rsidR="00A77B3E" w:rsidRDefault="00C85066">
      <w:pPr>
        <w:spacing w:before="120" w:after="120"/>
        <w:ind w:left="793" w:hanging="227"/>
        <w:rPr>
          <w:color w:val="000000"/>
          <w:u w:color="000000"/>
        </w:rPr>
      </w:pPr>
      <w:r>
        <w:t>20</w:t>
      </w:r>
      <w:r w:rsidR="00627A7A">
        <w:t>) </w:t>
      </w:r>
      <w:r w:rsidR="00627A7A">
        <w:rPr>
          <w:color w:val="000000"/>
          <w:u w:color="000000"/>
        </w:rPr>
        <w:t>prowadzenie ewidencji uchwał Prezydium Akademii i Zgromadzenia Ogólnego Akademii oraz decyzji, zarządzeń, pełnomocnictw i upoważnień wydawanych i udzielanych przez Prezesa Akademii i Kanclerza Akademii.</w:t>
      </w:r>
      <w:r w:rsidR="00627A7A">
        <w:rPr>
          <w:b/>
          <w:color w:val="000000"/>
          <w:u w:color="000000"/>
        </w:rPr>
        <w:t>”</w:t>
      </w:r>
      <w:r w:rsidR="00627A7A">
        <w:t>;</w:t>
      </w:r>
    </w:p>
    <w:p w14:paraId="7F19ABF0" w14:textId="77777777" w:rsidR="00A77B3E" w:rsidRDefault="00627A7A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uchyla się § 16 i § 18a;</w:t>
      </w:r>
    </w:p>
    <w:p w14:paraId="16E6217B" w14:textId="77777777" w:rsidR="00A77B3E" w:rsidRDefault="00627A7A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§ 22:</w:t>
      </w:r>
    </w:p>
    <w:p w14:paraId="159F38F0" w14:textId="77777777" w:rsidR="00A77B3E" w:rsidRDefault="00627A7A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 ust. 3:</w:t>
      </w:r>
    </w:p>
    <w:p w14:paraId="18580D15" w14:textId="77777777" w:rsidR="00A77B3E" w:rsidRDefault="00627A7A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zdaniu wstępnym wyrazy "Biura Organizacyjno-Majątkowego" zastępuje się wyrazami "Biura Majątkowego";</w:t>
      </w:r>
    </w:p>
    <w:p w14:paraId="04FA9375" w14:textId="77777777" w:rsidR="00A77B3E" w:rsidRDefault="00627A7A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uchyla się pkt 4;</w:t>
      </w:r>
    </w:p>
    <w:p w14:paraId="1BF7A528" w14:textId="77777777" w:rsidR="00A77B3E" w:rsidRDefault="00627A7A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 ust. 3a dodaje się ust. 3b w brzmieniu:</w:t>
      </w:r>
    </w:p>
    <w:p w14:paraId="0687A51C" w14:textId="77777777" w:rsidR="00A77B3E" w:rsidRDefault="00627A7A">
      <w:pPr>
        <w:keepLines/>
        <w:spacing w:before="120" w:after="120"/>
        <w:ind w:left="680" w:firstLine="227"/>
        <w:rPr>
          <w:color w:val="000000"/>
          <w:u w:color="000000"/>
        </w:rPr>
      </w:pPr>
      <w:r>
        <w:t>„3b. </w:t>
      </w:r>
      <w:r>
        <w:rPr>
          <w:color w:val="000000"/>
          <w:u w:color="000000"/>
        </w:rPr>
        <w:t>W skład Biura Prawnego wchodzi:</w:t>
      </w:r>
    </w:p>
    <w:p w14:paraId="1CD5D1C8" w14:textId="77777777" w:rsidR="00A77B3E" w:rsidRDefault="00627A7A">
      <w:pPr>
        <w:spacing w:before="120" w:after="120"/>
        <w:ind w:left="102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ab/>
        <w:t>Dział Radców Prawnych;</w:t>
      </w:r>
    </w:p>
    <w:p w14:paraId="51DD9862" w14:textId="77777777" w:rsidR="00A77B3E" w:rsidRDefault="00627A7A">
      <w:pPr>
        <w:spacing w:before="120" w:after="120"/>
        <w:ind w:left="102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Dział Rejestrów i Organizacji Jednostek Akademii.</w:t>
      </w:r>
      <w:r>
        <w:t>”,</w:t>
      </w:r>
    </w:p>
    <w:p w14:paraId="3D2BC051" w14:textId="77777777" w:rsidR="00A77B3E" w:rsidRDefault="00627A7A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ust. 5 otrzymuje brzmienie: „5. Zakres zadań Działów, o których mowa w ust. 1-3b, zatwierdza Kanclerz Akademii, na wniosek osób, o których mowa w § 2 ust. 1."</w:t>
      </w:r>
    </w:p>
    <w:p w14:paraId="527DBFA9" w14:textId="77777777" w:rsidR="00690C20" w:rsidRDefault="00627A7A">
      <w:pPr>
        <w:keepNext/>
        <w:spacing w:before="280"/>
        <w:jc w:val="center"/>
      </w:pPr>
      <w:r>
        <w:rPr>
          <w:b/>
        </w:rPr>
        <w:t>§ 2. </w:t>
      </w:r>
    </w:p>
    <w:p w14:paraId="3D2EA73D" w14:textId="77777777" w:rsidR="00A77B3E" w:rsidRDefault="00627A7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3"/>
        <w:gridCol w:w="4933"/>
      </w:tblGrid>
      <w:tr w:rsidR="00690C20" w14:paraId="7B10E5B8" w14:textId="77777777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1D297C4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715146B" w14:textId="77777777" w:rsidR="00A77B3E" w:rsidRDefault="00627A7A">
            <w:pPr>
              <w:jc w:val="center"/>
              <w:rPr>
                <w:color w:val="000000"/>
                <w:u w:color="000000"/>
              </w:rPr>
            </w:pPr>
            <w:r>
              <w:t xml:space="preserve">Prezes </w:t>
            </w:r>
          </w:p>
          <w:p w14:paraId="0EBD1B06" w14:textId="77777777" w:rsidR="00690C20" w:rsidRDefault="00627A7A">
            <w:pPr>
              <w:jc w:val="center"/>
            </w:pPr>
            <w:r>
              <w:t>Polskiej Akademii Nauk</w:t>
            </w:r>
          </w:p>
          <w:p w14:paraId="07C279F8" w14:textId="77777777" w:rsidR="00690C20" w:rsidRDefault="00690C20"/>
          <w:p w14:paraId="4ACDC8D4" w14:textId="77777777" w:rsidR="00690C20" w:rsidRDefault="00690C20"/>
          <w:p w14:paraId="539E4D86" w14:textId="77777777" w:rsidR="00690C20" w:rsidRDefault="00627A7A">
            <w:pPr>
              <w:jc w:val="center"/>
            </w:pPr>
            <w:r>
              <w:rPr>
                <w:b/>
              </w:rPr>
              <w:t>Marek Konarzewski</w:t>
            </w:r>
          </w:p>
        </w:tc>
      </w:tr>
    </w:tbl>
    <w:p w14:paraId="5249AE17" w14:textId="2CD5C021" w:rsidR="00A77B3E" w:rsidRDefault="00627A7A">
      <w:pPr>
        <w:spacing w:before="280" w:after="280" w:line="360" w:lineRule="auto"/>
        <w:jc w:val="center"/>
        <w:rPr>
          <w:color w:val="000000"/>
          <w:u w:color="000000"/>
        </w:rPr>
      </w:pPr>
      <w:r>
        <w:lastRenderedPageBreak/>
        <w:t>Uzasadnienie do uchwały Nr</w:t>
      </w:r>
      <w:r w:rsidR="00E34E2D">
        <w:t xml:space="preserve"> 26</w:t>
      </w:r>
      <w:r>
        <w:t>/2023</w:t>
      </w:r>
      <w:r>
        <w:rPr>
          <w:color w:val="000000"/>
          <w:u w:color="000000"/>
        </w:rPr>
        <w:br/>
      </w:r>
      <w:r>
        <w:t>Prezydium Polskiej Akademii Nauk</w:t>
      </w:r>
      <w:r>
        <w:rPr>
          <w:color w:val="000000"/>
          <w:u w:color="000000"/>
        </w:rPr>
        <w:br/>
      </w:r>
      <w:r>
        <w:t>z dnia 18 kwietnia 2023 r.</w:t>
      </w:r>
    </w:p>
    <w:p w14:paraId="6FA89812" w14:textId="77777777" w:rsidR="00A77B3E" w:rsidRDefault="00627A7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Przesłanką do utworzenia Biura Informatyki i Cyfryzacji jest potrzeba integracji zadań</w:t>
      </w:r>
      <w:r>
        <w:rPr>
          <w:color w:val="000000"/>
          <w:u w:color="000000"/>
        </w:rPr>
        <w:br/>
        <w:t>i odpowiedzialności w przedmiotowym obszarze. Proponowana zmiana ma na celu zapewnienie sprawnej realizacji strategii informatyzacji i cyfryzacji Akademii.</w:t>
      </w:r>
    </w:p>
    <w:p w14:paraId="31DEE413" w14:textId="73A364C6" w:rsidR="00A77B3E" w:rsidRDefault="00627A7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Zasadniczym celem utworzenia Biura Prawnego (BP), jest koncentracja w jednej komórce organizacyjnej zadań i odpowiedzialności z zakresu obsługi prawnej Akademii i tworzonych przez nią jednostek bez osobowości prawnej, nadzór merytoryczny nad tworzonymi spółkami i fundacjami oraz prowadzonymi rejestrami: instytutów naukowych, pełnomocnictw, aktów prawnych. Dotąd zadania te były rozproszone w dwóch komórkach organizacyjnych, co utrudniało przepływ dokumentów i wydłużało proces ich wydawania i akceptacji.  Dodatkowo tworzona komórka organizacyjna będzie odpowiedzialna za jednolitą interpretację przepisów dotyczących działalności Polskiej Akademii Nauk oraz jej jednostek naukowych. Mając zatem na względzie zwiększenie zadań w zakresie obsługi prawnej uzasadnione jest utworzenie Biura Prawnego, w którym wydzielono dwa działy: Radców Prawnych oraz Rejestrów i Organizacji Jednostek Akademii.</w:t>
      </w:r>
    </w:p>
    <w:p w14:paraId="4EE0785B" w14:textId="77777777" w:rsidR="00A77B3E" w:rsidRDefault="00627A7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Konsekwencją utworzenia Biura Prawnego są zmiany w Biurze Organizacyjno-Majątkowym, które stanie się Biurem Majątkowym skupiającym wszystkie kompetencje związane z nadzorem właścicielskim oraz zarządzaniem nieruchomościami Akademii.</w:t>
      </w:r>
    </w:p>
    <w:p w14:paraId="14761187" w14:textId="77777777" w:rsidR="00A77B3E" w:rsidRDefault="00627A7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Zaproponowane zmiany usprawnią funkcjonowanie komórek organizacyjnych, co przyczyni się do efektywnego i ustandaryzowanego wykonywania powierzonych zadań.</w:t>
      </w:r>
    </w:p>
    <w:sectPr w:rsidR="00A77B3E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D6916" w14:textId="77777777" w:rsidR="00A40425" w:rsidRDefault="00A40425">
      <w:r>
        <w:separator/>
      </w:r>
    </w:p>
  </w:endnote>
  <w:endnote w:type="continuationSeparator" w:id="0">
    <w:p w14:paraId="6BE54D17" w14:textId="77777777" w:rsidR="00A40425" w:rsidRDefault="00A40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8300789"/>
      <w:docPartObj>
        <w:docPartGallery w:val="Page Numbers (Bottom of Page)"/>
        <w:docPartUnique/>
      </w:docPartObj>
    </w:sdtPr>
    <w:sdtEndPr/>
    <w:sdtContent>
      <w:p w14:paraId="551B1F95" w14:textId="2A8D77FB" w:rsidR="007B23AC" w:rsidRDefault="007B23A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D269A33" w14:textId="77777777" w:rsidR="00690C20" w:rsidRDefault="00690C2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97EAF" w14:textId="77777777" w:rsidR="00A40425" w:rsidRDefault="00A40425">
      <w:r>
        <w:separator/>
      </w:r>
    </w:p>
  </w:footnote>
  <w:footnote w:type="continuationSeparator" w:id="0">
    <w:p w14:paraId="2283CBB1" w14:textId="77777777" w:rsidR="00A40425" w:rsidRDefault="00A404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1623E"/>
    <w:rsid w:val="002477D1"/>
    <w:rsid w:val="00284943"/>
    <w:rsid w:val="002A450F"/>
    <w:rsid w:val="002E61F1"/>
    <w:rsid w:val="003133ED"/>
    <w:rsid w:val="0043783F"/>
    <w:rsid w:val="004616B3"/>
    <w:rsid w:val="004A41BA"/>
    <w:rsid w:val="00627A7A"/>
    <w:rsid w:val="00690C20"/>
    <w:rsid w:val="00714525"/>
    <w:rsid w:val="007B23AC"/>
    <w:rsid w:val="007E4D14"/>
    <w:rsid w:val="00816BBF"/>
    <w:rsid w:val="009B62E4"/>
    <w:rsid w:val="00A40425"/>
    <w:rsid w:val="00A77B3E"/>
    <w:rsid w:val="00C30BBF"/>
    <w:rsid w:val="00C85066"/>
    <w:rsid w:val="00CA2A55"/>
    <w:rsid w:val="00D7406B"/>
    <w:rsid w:val="00D865F5"/>
    <w:rsid w:val="00DF3287"/>
    <w:rsid w:val="00E34E2D"/>
    <w:rsid w:val="00FA3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F45D53"/>
  <w15:docId w15:val="{4B22F36F-DEEB-479E-9707-ADFBAE056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B23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B23AC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B23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B23AC"/>
    <w:rPr>
      <w:rFonts w:ascii="Public Sans" w:eastAsia="Public Sans" w:hAnsi="Public Sans" w:cs="Public Sans"/>
      <w:sz w:val="22"/>
      <w:szCs w:val="24"/>
    </w:rPr>
  </w:style>
  <w:style w:type="character" w:styleId="Odwoaniedokomentarza">
    <w:name w:val="annotation reference"/>
    <w:basedOn w:val="Domylnaczcionkaakapitu"/>
    <w:semiHidden/>
    <w:unhideWhenUsed/>
    <w:rsid w:val="004A41B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4A41B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A41BA"/>
    <w:rPr>
      <w:rFonts w:ascii="Public Sans" w:eastAsia="Public Sans" w:hAnsi="Public Sans" w:cs="Public Sans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A41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A41BA"/>
    <w:rPr>
      <w:rFonts w:ascii="Public Sans" w:eastAsia="Public Sans" w:hAnsi="Public Sans" w:cs="Public Sans"/>
      <w:b/>
      <w:bCs/>
    </w:rPr>
  </w:style>
  <w:style w:type="paragraph" w:styleId="Poprawka">
    <w:name w:val="Revision"/>
    <w:hidden/>
    <w:uiPriority w:val="99"/>
    <w:semiHidden/>
    <w:rsid w:val="00D865F5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66e47d-0211-45a8-bcdd-f58f20ab3a04" xsi:nil="true"/>
    <lcf76f155ced4ddcb4097134ff3c332f xmlns="8f17d37f-b9e4-4881-9fa5-bf56b795a81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617BDB-56C5-45B6-9984-F84876FDC569}"/>
</file>

<file path=customXml/itemProps2.xml><?xml version="1.0" encoding="utf-8"?>
<ds:datastoreItem xmlns:ds="http://schemas.openxmlformats.org/officeDocument/2006/customXml" ds:itemID="{0B8B6221-4A24-4EF4-9C59-4F82B29B1E1A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3.xml><?xml version="1.0" encoding="utf-8"?>
<ds:datastoreItem xmlns:ds="http://schemas.openxmlformats.org/officeDocument/2006/customXml" ds:itemID="{30D5F878-25E9-46D9-9A13-7F08E297E4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1538</Words>
  <Characters>10683</Characters>
  <Application>Microsoft Office Word</Application>
  <DocSecurity>4</DocSecurity>
  <Lines>89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       /2023 z dnia 18 kwietnia 2023 r.</vt:lpstr>
      <vt:lpstr/>
    </vt:vector>
  </TitlesOfParts>
  <Company>Prezydium Polskiej Akademii Nauk</Company>
  <LinksUpToDate>false</LinksUpToDate>
  <CharactersWithSpaces>12197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  /2023 z dnia 18 kwietnia 2023 r.</dc:title>
  <dc:subject>zmieniająca uchwałę w^sprawie regulaminu działalności Kanclerza Akademii i^Kancelarii Akademii</dc:subject>
  <dc:creator>jjurek</dc:creator>
  <cp:lastModifiedBy>Elżbieta Zięba-Andrzejuk</cp:lastModifiedBy>
  <cp:revision>2</cp:revision>
  <cp:lastPrinted>2023-04-20T09:37:00Z</cp:lastPrinted>
  <dcterms:created xsi:type="dcterms:W3CDTF">2023-04-20T09:48:00Z</dcterms:created>
  <dcterms:modified xsi:type="dcterms:W3CDTF">2023-04-20T09:48:00Z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0x0101001FFD6B8AA7DA644FB2475ABA1CC61F84</vt:lpwstr>
  </property>
  <property fmtid="{D5CDD505-2E9C-101B-9397-08002B2CF9AE}" pid="3" name="MediaServiceImageTags">
    <vt:lpwstr/>
  </property>
</Properties>
</file>