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D4F4F" w14:textId="66E31922" w:rsidR="00A77B3E" w:rsidRDefault="00252BE8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84460C">
        <w:rPr>
          <w:b/>
          <w:caps/>
        </w:rPr>
        <w:t>18</w:t>
      </w:r>
      <w:r w:rsidR="0084460C">
        <w:rPr>
          <w:b/>
          <w:caps/>
        </w:rPr>
        <w:t>/</w:t>
      </w:r>
      <w:r w:rsidR="00D04AFB">
        <w:rPr>
          <w:b/>
          <w:caps/>
        </w:rPr>
        <w:t>2023</w:t>
      </w:r>
      <w:r>
        <w:rPr>
          <w:b/>
          <w:caps/>
        </w:rPr>
        <w:br/>
        <w:t>Kanclerza Polskiej Akademii Nauk</w:t>
      </w:r>
    </w:p>
    <w:p w14:paraId="7AF85D77" w14:textId="0360D4D0" w:rsidR="00A77B3E" w:rsidRDefault="00252BE8">
      <w:pPr>
        <w:spacing w:before="280" w:after="280"/>
        <w:jc w:val="center"/>
        <w:rPr>
          <w:b/>
          <w:caps/>
        </w:rPr>
      </w:pPr>
      <w:r>
        <w:t xml:space="preserve">z dnia </w:t>
      </w:r>
      <w:r w:rsidR="001758E6">
        <w:t>19 kwietnia </w:t>
      </w:r>
      <w:r>
        <w:t>2023 r.</w:t>
      </w:r>
    </w:p>
    <w:p w14:paraId="2526A148" w14:textId="77777777" w:rsidR="00A77B3E" w:rsidRDefault="00252BE8">
      <w:pPr>
        <w:keepNext/>
        <w:spacing w:after="480"/>
        <w:jc w:val="center"/>
      </w:pPr>
      <w:r>
        <w:rPr>
          <w:b/>
        </w:rPr>
        <w:t>zmieniające zarządzenie w sprawie wprowadzenia Regulaminu Pracy Kancelarii Polskiej Akademii Nauk</w:t>
      </w:r>
    </w:p>
    <w:p w14:paraId="56061528" w14:textId="77777777" w:rsidR="00A77B3E" w:rsidRDefault="00252BE8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104 - 104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 xml:space="preserve"> ustawy z dnia 30 kwietnia 2010 r. Kodeks pracy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 Dz.U. 2022 r. poz. 1510) zarządzam, co następuje:</w:t>
      </w:r>
    </w:p>
    <w:p w14:paraId="42667CBE" w14:textId="77777777" w:rsidR="000762BF" w:rsidRDefault="00252BE8">
      <w:pPr>
        <w:keepNext/>
        <w:spacing w:before="280"/>
        <w:jc w:val="center"/>
      </w:pPr>
      <w:r>
        <w:rPr>
          <w:b/>
        </w:rPr>
        <w:t>§ 1. </w:t>
      </w:r>
    </w:p>
    <w:p w14:paraId="70CC5D5C" w14:textId="77777777" w:rsidR="00A77B3E" w:rsidRDefault="00252BE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W załączniku do zarządzenia Nr 31 Kanclerza Polskiej Akademii Nauk z dnia 6 grudnia 2012 r. wprowadzam następujące zmiany w § 14:</w:t>
      </w:r>
    </w:p>
    <w:p w14:paraId="28CC8842" w14:textId="5870A684" w:rsidR="00A96205" w:rsidRDefault="0034561C" w:rsidP="00BB4888">
      <w:pPr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</w:t>
      </w:r>
      <w:r w:rsidR="00BB4888">
        <w:rPr>
          <w:color w:val="000000"/>
          <w:u w:color="000000"/>
        </w:rPr>
        <w:t>st</w:t>
      </w:r>
      <w:r w:rsidR="00A96205">
        <w:rPr>
          <w:color w:val="000000"/>
          <w:u w:color="000000"/>
        </w:rPr>
        <w:t>. 1 otrzymuje brzmienie:</w:t>
      </w:r>
    </w:p>
    <w:p w14:paraId="68B3E6C6" w14:textId="5545AE64" w:rsidR="002F64EC" w:rsidRDefault="00A96205" w:rsidP="00A96205">
      <w:pPr>
        <w:keepLines/>
        <w:spacing w:before="120" w:after="120"/>
        <w:ind w:left="768"/>
        <w:rPr>
          <w:color w:val="000000"/>
          <w:u w:color="000000"/>
        </w:rPr>
      </w:pPr>
      <w:r>
        <w:rPr>
          <w:color w:val="000000"/>
          <w:u w:color="000000"/>
        </w:rPr>
        <w:t>„1. W Kancelarii PAN obowiązuje podstawowy system czasu pracy</w:t>
      </w:r>
      <w:r w:rsidR="00C93705">
        <w:rPr>
          <w:color w:val="000000"/>
          <w:u w:color="000000"/>
        </w:rPr>
        <w:t>, z zastrzeżeniem u</w:t>
      </w:r>
      <w:r w:rsidR="00D625E2">
        <w:rPr>
          <w:color w:val="000000"/>
          <w:u w:color="000000"/>
        </w:rPr>
        <w:t>st. 1a</w:t>
      </w:r>
      <w:r w:rsidR="00C93705">
        <w:rPr>
          <w:color w:val="000000"/>
          <w:u w:color="000000"/>
        </w:rPr>
        <w:t>.</w:t>
      </w:r>
      <w:r w:rsidR="0020645F">
        <w:rPr>
          <w:color w:val="000000"/>
          <w:u w:color="000000"/>
        </w:rPr>
        <w:t>”;</w:t>
      </w:r>
    </w:p>
    <w:p w14:paraId="2F338BDF" w14:textId="59B118AF" w:rsidR="00C93705" w:rsidRDefault="00C93705" w:rsidP="00FE7B56">
      <w:pPr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 ust. 1 dodaje się ust.</w:t>
      </w:r>
      <w:r w:rsidR="007C49C0">
        <w:rPr>
          <w:color w:val="000000"/>
          <w:u w:color="000000"/>
        </w:rPr>
        <w:t xml:space="preserve"> 1a-1c w brzmieniu:</w:t>
      </w:r>
    </w:p>
    <w:p w14:paraId="08CCAF86" w14:textId="6D401BC0" w:rsidR="00452987" w:rsidRDefault="007C49C0" w:rsidP="00452987">
      <w:pPr>
        <w:keepLines/>
        <w:spacing w:before="120" w:after="120"/>
        <w:ind w:left="453" w:firstLine="340"/>
        <w:rPr>
          <w:color w:val="000000"/>
          <w:u w:color="000000"/>
        </w:rPr>
      </w:pPr>
      <w:r>
        <w:rPr>
          <w:color w:val="000000"/>
          <w:u w:color="000000"/>
        </w:rPr>
        <w:t>„</w:t>
      </w:r>
      <w:r w:rsidR="002F64EC">
        <w:rPr>
          <w:color w:val="000000"/>
          <w:u w:color="000000"/>
        </w:rPr>
        <w:t>1a</w:t>
      </w:r>
      <w:r w:rsidR="00415079">
        <w:rPr>
          <w:color w:val="000000"/>
          <w:u w:color="000000"/>
        </w:rPr>
        <w:t>.</w:t>
      </w:r>
      <w:r w:rsidR="00FE7B56">
        <w:rPr>
          <w:color w:val="000000"/>
          <w:u w:color="000000"/>
        </w:rPr>
        <w:t xml:space="preserve"> </w:t>
      </w:r>
      <w:r w:rsidR="00452987">
        <w:rPr>
          <w:color w:val="000000"/>
          <w:u w:color="000000"/>
        </w:rPr>
        <w:t>W przypadkach uzasadnionych rodzajem pracy i jej organizacją mogą być stosowane rozkłady czasu pracy, w których jest dopuszczalne przedłużenie czasu pracy do 12 godzin na dobę (równoważny system czasu pracy). W rozkładach tych czas pracy nie może jednak przekraczać średnio 40 godzin tygodniowo w okresie rozliczeniowym wynoszącym 3 miesiące (kwartał). W takim przypadku praca zgodnie z harmonogramem powyżej 8 godzin na dobę nie stanowi pracy w godzinach nadliczbowych.</w:t>
      </w:r>
    </w:p>
    <w:p w14:paraId="2F764D25" w14:textId="4F758464" w:rsidR="00452987" w:rsidRDefault="00452987" w:rsidP="00452987">
      <w:pPr>
        <w:keepLines/>
        <w:spacing w:before="120" w:after="120"/>
        <w:ind w:left="453" w:firstLine="340"/>
        <w:rPr>
          <w:color w:val="000000"/>
          <w:u w:color="000000"/>
        </w:rPr>
      </w:pPr>
      <w:r>
        <w:t>1b</w:t>
      </w:r>
      <w:r w:rsidR="00415079">
        <w:t>.</w:t>
      </w:r>
      <w:r>
        <w:t> </w:t>
      </w:r>
      <w:r>
        <w:rPr>
          <w:color w:val="000000"/>
          <w:u w:color="000000"/>
        </w:rPr>
        <w:t>Harmonogramy dla osób objętych równoważnym systemem czasu pracy sporządzane są na cały okres rozliczeniowy, przed jego rozpoczęciem, i przekazywane pracownikowi co najmniej 7 dni przed rozpoczęciem pracy w okresie, na który został sporządzony dany harmonogram. W uzasadnionych przypadkach harmonogramy mogą być korygowane.</w:t>
      </w:r>
    </w:p>
    <w:p w14:paraId="687A5763" w14:textId="6A64E30B" w:rsidR="00452987" w:rsidRDefault="00452987" w:rsidP="00452987">
      <w:pPr>
        <w:keepLines/>
        <w:spacing w:before="120" w:after="120"/>
        <w:ind w:left="453" w:firstLine="340"/>
      </w:pPr>
      <w:r>
        <w:t>1c</w:t>
      </w:r>
      <w:r w:rsidR="00415079">
        <w:t>.</w:t>
      </w:r>
      <w:r>
        <w:t> </w:t>
      </w:r>
      <w:r>
        <w:rPr>
          <w:color w:val="000000"/>
          <w:u w:color="000000"/>
        </w:rPr>
        <w:t>Kierujący komórkami organizacyjnymi mają obowiązek na bieżąco informować komórkę organizacyjną właściwą do spraw kadrowych, którzy pracownicy są objęci równoważnym systemem czasu pracy.</w:t>
      </w:r>
      <w:r>
        <w:t>”</w:t>
      </w:r>
      <w:r w:rsidR="0020645F">
        <w:t>;</w:t>
      </w:r>
    </w:p>
    <w:p w14:paraId="29DB0FB2" w14:textId="34883DC1" w:rsidR="00EB65D3" w:rsidRDefault="0034561C" w:rsidP="00646DE3">
      <w:pPr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</w:t>
      </w:r>
      <w:r w:rsidR="00646DE3">
        <w:rPr>
          <w:color w:val="000000"/>
          <w:u w:color="000000"/>
        </w:rPr>
        <w:t xml:space="preserve">st. 2 </w:t>
      </w:r>
      <w:r w:rsidR="00B85F6D">
        <w:rPr>
          <w:color w:val="000000"/>
          <w:u w:color="000000"/>
        </w:rPr>
        <w:t>otrzymuje brzmienie</w:t>
      </w:r>
    </w:p>
    <w:p w14:paraId="1B339DAA" w14:textId="3B66FA5B" w:rsidR="00B85F6D" w:rsidRDefault="00B85F6D" w:rsidP="00FE7B56">
      <w:pPr>
        <w:keepLines/>
        <w:spacing w:before="120" w:after="120"/>
        <w:ind w:left="768"/>
        <w:rPr>
          <w:color w:val="000000"/>
          <w:u w:color="000000"/>
        </w:rPr>
      </w:pPr>
      <w:r>
        <w:rPr>
          <w:color w:val="000000"/>
          <w:u w:color="000000"/>
        </w:rPr>
        <w:t>„</w:t>
      </w:r>
      <w:r w:rsidR="0020645F">
        <w:rPr>
          <w:color w:val="000000"/>
          <w:u w:color="000000"/>
        </w:rPr>
        <w:t xml:space="preserve">2. </w:t>
      </w:r>
      <w:r w:rsidR="0001736D">
        <w:rPr>
          <w:color w:val="000000"/>
          <w:u w:color="000000"/>
        </w:rPr>
        <w:t xml:space="preserve">Czas pracy nie może przekraczać 8 godzin na dobę i przeciętnie 40 godzin w przeciętnie </w:t>
      </w:r>
      <w:r w:rsidR="0070563D">
        <w:rPr>
          <w:color w:val="000000"/>
          <w:u w:color="000000"/>
        </w:rPr>
        <w:t xml:space="preserve">pięciodniowym tygodniu pracy w przyjętym okresie </w:t>
      </w:r>
      <w:r w:rsidR="0070563D" w:rsidRPr="001758E6">
        <w:rPr>
          <w:color w:val="000000"/>
          <w:u w:color="000000"/>
        </w:rPr>
        <w:t>rozliczeniowym</w:t>
      </w:r>
      <w:r w:rsidR="006050F8" w:rsidRPr="001758E6">
        <w:rPr>
          <w:color w:val="000000"/>
          <w:u w:color="000000"/>
        </w:rPr>
        <w:t xml:space="preserve"> </w:t>
      </w:r>
      <w:r w:rsidR="006050F8" w:rsidRPr="00D04AFB">
        <w:rPr>
          <w:color w:val="000000"/>
          <w:u w:color="000000"/>
        </w:rPr>
        <w:t xml:space="preserve">z zastrzeżeniem </w:t>
      </w:r>
      <w:r w:rsidR="0020645F" w:rsidRPr="00D04AFB">
        <w:rPr>
          <w:color w:val="000000"/>
          <w:u w:color="000000"/>
        </w:rPr>
        <w:t>ust.</w:t>
      </w:r>
      <w:r w:rsidR="006050F8" w:rsidRPr="00D04AFB">
        <w:rPr>
          <w:color w:val="000000"/>
          <w:u w:color="000000"/>
        </w:rPr>
        <w:t xml:space="preserve"> 1a</w:t>
      </w:r>
      <w:r w:rsidR="006050F8" w:rsidRPr="001758E6">
        <w:rPr>
          <w:color w:val="000000"/>
          <w:u w:color="000000"/>
        </w:rPr>
        <w:t>.</w:t>
      </w:r>
      <w:r w:rsidR="0020645F" w:rsidRPr="001758E6">
        <w:rPr>
          <w:color w:val="000000"/>
          <w:u w:color="000000"/>
        </w:rPr>
        <w:t>”;</w:t>
      </w:r>
    </w:p>
    <w:p w14:paraId="6B26988B" w14:textId="1446792D" w:rsidR="00A77B3E" w:rsidRDefault="0020645F">
      <w:pPr>
        <w:spacing w:before="120" w:after="120"/>
        <w:ind w:left="340" w:hanging="227"/>
        <w:rPr>
          <w:color w:val="000000"/>
          <w:u w:color="000000"/>
        </w:rPr>
      </w:pPr>
      <w:r>
        <w:t>4</w:t>
      </w:r>
      <w:r w:rsidR="00252BE8">
        <w:t>) </w:t>
      </w:r>
      <w:r w:rsidR="00252BE8">
        <w:rPr>
          <w:color w:val="000000"/>
          <w:u w:color="000000"/>
        </w:rPr>
        <w:t>ust. 4 otrzymuje brzmienie:</w:t>
      </w:r>
    </w:p>
    <w:p w14:paraId="42B6EBBB" w14:textId="77777777" w:rsidR="00A77B3E" w:rsidRDefault="00252BE8">
      <w:pPr>
        <w:keepLines/>
        <w:spacing w:before="120" w:after="120"/>
        <w:ind w:left="453" w:firstLine="227"/>
        <w:rPr>
          <w:color w:val="000000"/>
          <w:u w:color="000000"/>
        </w:rPr>
      </w:pPr>
      <w:r>
        <w:t>„4. </w:t>
      </w:r>
      <w:r>
        <w:rPr>
          <w:color w:val="000000"/>
          <w:u w:color="000000"/>
        </w:rPr>
        <w:t>W Kancelarii PAN dniem wolnym od pracy, wynikającym z zasady średnio pięciodniowego tygodnia pracy dla pracowników zatrudnionych w podstawowym systemie czasu pracy jest sobota, a w równoważnym systemie czasu – dzień ustalony w harmonogramie czasu pracy. W szczególnych przypadkach dopuszcza się wyznaczenie innego dnia wolnego od pracy.</w:t>
      </w:r>
      <w:r>
        <w:t>”;</w:t>
      </w:r>
    </w:p>
    <w:p w14:paraId="7E7E39AD" w14:textId="6EA37D60" w:rsidR="00A77B3E" w:rsidRDefault="0020645F">
      <w:pPr>
        <w:spacing w:before="120" w:after="120"/>
        <w:ind w:left="340" w:hanging="227"/>
        <w:rPr>
          <w:color w:val="000000"/>
          <w:u w:color="000000"/>
        </w:rPr>
      </w:pPr>
      <w:r>
        <w:t>5</w:t>
      </w:r>
      <w:r w:rsidR="00252BE8">
        <w:t>) </w:t>
      </w:r>
      <w:r w:rsidR="00252BE8">
        <w:rPr>
          <w:color w:val="000000"/>
          <w:u w:color="000000"/>
        </w:rPr>
        <w:t>ust. 5 otrzymuje brzmienie:</w:t>
      </w:r>
    </w:p>
    <w:p w14:paraId="4B778C65" w14:textId="51EEF3A9" w:rsidR="00A77B3E" w:rsidRDefault="00252BE8">
      <w:pPr>
        <w:keepLines/>
        <w:spacing w:before="120" w:after="120"/>
        <w:ind w:left="453" w:firstLine="227"/>
        <w:rPr>
          <w:color w:val="000000"/>
          <w:u w:color="000000"/>
        </w:rPr>
      </w:pPr>
      <w:r>
        <w:t>„5. </w:t>
      </w:r>
      <w:r>
        <w:rPr>
          <w:color w:val="000000"/>
          <w:u w:color="000000"/>
        </w:rPr>
        <w:t xml:space="preserve">Przyjmuje się </w:t>
      </w:r>
      <w:r w:rsidR="00FE7B56">
        <w:rPr>
          <w:color w:val="000000"/>
          <w:u w:color="000000"/>
        </w:rPr>
        <w:t>3</w:t>
      </w:r>
      <w:r>
        <w:rPr>
          <w:color w:val="000000"/>
          <w:u w:color="000000"/>
        </w:rPr>
        <w:t>-miesięczny</w:t>
      </w:r>
      <w:r w:rsidR="00FE7B56">
        <w:rPr>
          <w:color w:val="000000"/>
          <w:u w:color="000000"/>
        </w:rPr>
        <w:t xml:space="preserve"> (kwartalny)</w:t>
      </w:r>
      <w:r>
        <w:rPr>
          <w:color w:val="000000"/>
          <w:u w:color="000000"/>
        </w:rPr>
        <w:t xml:space="preserve"> okres rozliczeniowy czasu pracy.</w:t>
      </w:r>
      <w:r>
        <w:t>”;</w:t>
      </w:r>
    </w:p>
    <w:p w14:paraId="4451E3EB" w14:textId="110DB766" w:rsidR="00A77B3E" w:rsidRDefault="0020645F">
      <w:pPr>
        <w:spacing w:before="120" w:after="120"/>
        <w:ind w:left="340" w:hanging="227"/>
        <w:rPr>
          <w:color w:val="000000"/>
          <w:u w:color="000000"/>
        </w:rPr>
      </w:pPr>
      <w:r>
        <w:t>6</w:t>
      </w:r>
      <w:r w:rsidR="00252BE8">
        <w:t>) </w:t>
      </w:r>
      <w:r w:rsidR="00252BE8">
        <w:rPr>
          <w:color w:val="000000"/>
          <w:u w:color="000000"/>
        </w:rPr>
        <w:t>ust. 6 otrzymuje brzmienie:</w:t>
      </w:r>
    </w:p>
    <w:p w14:paraId="14A1976C" w14:textId="0AF948B7" w:rsidR="00A77B3E" w:rsidRDefault="00252BE8">
      <w:pPr>
        <w:keepLines/>
        <w:spacing w:before="120" w:after="120"/>
        <w:ind w:left="453" w:firstLine="227"/>
        <w:rPr>
          <w:color w:val="000000"/>
          <w:u w:color="000000"/>
        </w:rPr>
      </w:pPr>
      <w:r>
        <w:lastRenderedPageBreak/>
        <w:t>„6. </w:t>
      </w:r>
      <w:r>
        <w:rPr>
          <w:color w:val="000000"/>
          <w:u w:color="000000"/>
        </w:rPr>
        <w:t>Pracownicy rozpoczynają pracę pomiędzy godziną 7:00, a godziną 9:00 i kończą po upływie obowiązującej ich dobowej normy czasu pracy (ruchomy czas pracy), z zastrzeżeniem ust. </w:t>
      </w:r>
      <w:r w:rsidR="00CB6C1F">
        <w:rPr>
          <w:color w:val="000000"/>
          <w:u w:color="000000"/>
        </w:rPr>
        <w:t>1</w:t>
      </w:r>
      <w:r>
        <w:rPr>
          <w:color w:val="000000"/>
          <w:u w:color="000000"/>
        </w:rPr>
        <w:t>a, ,</w:t>
      </w:r>
      <w:r w:rsidR="00B811BC">
        <w:rPr>
          <w:color w:val="000000"/>
          <w:u w:color="000000"/>
        </w:rPr>
        <w:t>6a i 6b</w:t>
      </w:r>
      <w:r>
        <w:rPr>
          <w:color w:val="000000"/>
          <w:u w:color="000000"/>
        </w:rPr>
        <w:t>.</w:t>
      </w:r>
      <w:r>
        <w:t>”;</w:t>
      </w:r>
    </w:p>
    <w:p w14:paraId="163AD70A" w14:textId="4E3A686D" w:rsidR="00A77B3E" w:rsidRDefault="00B811BC">
      <w:pPr>
        <w:spacing w:before="120" w:after="120"/>
        <w:ind w:left="340" w:hanging="227"/>
        <w:rPr>
          <w:color w:val="000000"/>
          <w:u w:color="000000"/>
        </w:rPr>
      </w:pPr>
      <w:r>
        <w:t>7</w:t>
      </w:r>
      <w:r w:rsidR="00252BE8">
        <w:t>) </w:t>
      </w:r>
      <w:r w:rsidR="00252BE8">
        <w:rPr>
          <w:color w:val="000000"/>
          <w:u w:color="000000"/>
        </w:rPr>
        <w:t>po ust. 6 dodaje się ust. 6a-6</w:t>
      </w:r>
      <w:r w:rsidR="00C204D7">
        <w:rPr>
          <w:color w:val="000000"/>
          <w:u w:color="000000"/>
        </w:rPr>
        <w:t>c</w:t>
      </w:r>
      <w:r w:rsidR="00252BE8">
        <w:rPr>
          <w:color w:val="000000"/>
          <w:u w:color="000000"/>
        </w:rPr>
        <w:t xml:space="preserve"> w brzmieniu:</w:t>
      </w:r>
    </w:p>
    <w:p w14:paraId="6A585513" w14:textId="77777777" w:rsidR="00A77B3E" w:rsidRDefault="00252BE8">
      <w:pPr>
        <w:keepLines/>
        <w:spacing w:before="120" w:after="120"/>
        <w:ind w:left="453" w:firstLine="227"/>
        <w:rPr>
          <w:color w:val="000000"/>
          <w:u w:color="000000"/>
        </w:rPr>
      </w:pPr>
      <w:r>
        <w:t>„6a. </w:t>
      </w:r>
      <w:r>
        <w:rPr>
          <w:color w:val="000000"/>
          <w:u w:color="000000"/>
        </w:rPr>
        <w:t>W celu zapewnienia prawidłowej realizacji zadań kierujący komórkami organizacyjnymi mogą zobowiązać pracowników do świadczenia pracy w godzinach 8:15-16:15.</w:t>
      </w:r>
    </w:p>
    <w:p w14:paraId="59C4ADD1" w14:textId="77777777" w:rsidR="00A77B3E" w:rsidRDefault="00252BE8">
      <w:pPr>
        <w:keepLines/>
        <w:spacing w:before="120" w:after="120"/>
        <w:ind w:left="453" w:firstLine="340"/>
        <w:rPr>
          <w:color w:val="000000"/>
          <w:u w:color="000000"/>
        </w:rPr>
      </w:pPr>
      <w:r>
        <w:t>6b. </w:t>
      </w:r>
      <w:r>
        <w:rPr>
          <w:color w:val="000000"/>
          <w:u w:color="000000"/>
        </w:rPr>
        <w:t>Kierujący komórkami organizacyjnymi mogą wprowadzić węższy przedział czasowy niż wskazany w ust. 6.</w:t>
      </w:r>
    </w:p>
    <w:p w14:paraId="694D04B0" w14:textId="737173D0" w:rsidR="00A77B3E" w:rsidRDefault="00252BE8">
      <w:pPr>
        <w:keepLines/>
        <w:spacing w:before="120" w:after="120"/>
        <w:ind w:left="453" w:firstLine="340"/>
        <w:rPr>
          <w:color w:val="000000"/>
          <w:u w:color="000000"/>
        </w:rPr>
      </w:pPr>
      <w:r>
        <w:t>6c. </w:t>
      </w:r>
      <w:r>
        <w:rPr>
          <w:color w:val="000000"/>
          <w:u w:color="000000"/>
        </w:rPr>
        <w:t>Kierujący komórkami organizacyjnymi informują pracowników na piśmie, z co najmniej 7-dniowym wyprzedzeniem, o zastosowaniu w stosunku do nich rozwiązań określonych w ust. </w:t>
      </w:r>
      <w:r w:rsidR="00341A5F">
        <w:rPr>
          <w:color w:val="000000"/>
          <w:u w:color="000000"/>
        </w:rPr>
        <w:t>6</w:t>
      </w:r>
      <w:r>
        <w:rPr>
          <w:color w:val="000000"/>
          <w:u w:color="000000"/>
        </w:rPr>
        <w:t>a albo 6b. Powiadomienie</w:t>
      </w:r>
      <w:r w:rsidR="008154D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przekazywane </w:t>
      </w:r>
      <w:r w:rsidR="00B811BC">
        <w:rPr>
          <w:color w:val="000000"/>
          <w:u w:color="000000"/>
        </w:rPr>
        <w:t xml:space="preserve"> jest </w:t>
      </w:r>
      <w:r>
        <w:rPr>
          <w:color w:val="000000"/>
          <w:u w:color="000000"/>
        </w:rPr>
        <w:t>do komórki organizacyjnej właściwej do spraw kadrowych.</w:t>
      </w:r>
      <w:r w:rsidR="00B811BC">
        <w:rPr>
          <w:color w:val="000000"/>
          <w:u w:color="000000"/>
        </w:rPr>
        <w:t>”;</w:t>
      </w:r>
    </w:p>
    <w:p w14:paraId="7C048A17" w14:textId="03435016" w:rsidR="009851C9" w:rsidRDefault="00D630A3" w:rsidP="00D630A3">
      <w:pPr>
        <w:keepLines/>
        <w:spacing w:before="120" w:after="120"/>
      </w:pPr>
      <w:r>
        <w:t xml:space="preserve">   </w:t>
      </w:r>
      <w:r w:rsidR="00B811BC">
        <w:t>8</w:t>
      </w:r>
      <w:r w:rsidR="009851C9">
        <w:t xml:space="preserve">) </w:t>
      </w:r>
      <w:r w:rsidR="00B811BC">
        <w:t>u</w:t>
      </w:r>
      <w:r w:rsidR="00A915BB">
        <w:t>st. 9 otrzymuje brzmienie</w:t>
      </w:r>
      <w:r w:rsidR="00550C4E">
        <w:t>:</w:t>
      </w:r>
    </w:p>
    <w:p w14:paraId="0D069DA0" w14:textId="60590E34" w:rsidR="006F1BC9" w:rsidRDefault="006F1BC9">
      <w:pPr>
        <w:keepLines/>
        <w:spacing w:before="120" w:after="120"/>
        <w:ind w:left="453" w:firstLine="340"/>
      </w:pPr>
      <w:r>
        <w:t>„</w:t>
      </w:r>
      <w:r w:rsidR="00B811BC">
        <w:t xml:space="preserve">9. </w:t>
      </w:r>
      <w:r>
        <w:t>Jeżeli dobowy wymiar czasu pracy</w:t>
      </w:r>
      <w:r w:rsidR="006D2157">
        <w:t xml:space="preserve"> pracownika</w:t>
      </w:r>
      <w:r w:rsidR="00AA1EA8">
        <w:t>:</w:t>
      </w:r>
    </w:p>
    <w:p w14:paraId="563C6119" w14:textId="334E7026" w:rsidR="00AA1EA8" w:rsidRDefault="006F3A9F" w:rsidP="00AA1EA8">
      <w:pPr>
        <w:keepLines/>
        <w:numPr>
          <w:ilvl w:val="0"/>
          <w:numId w:val="3"/>
        </w:numPr>
        <w:spacing w:before="120" w:after="120"/>
      </w:pPr>
      <w:r>
        <w:t>w</w:t>
      </w:r>
      <w:r w:rsidR="00AA1EA8">
        <w:t>ynosi co najmniej 6 godzin – pracownik ma prawo do przerwy w pracy</w:t>
      </w:r>
      <w:r>
        <w:t xml:space="preserve"> trwającej co najmniej 15 minut</w:t>
      </w:r>
      <w:r w:rsidR="00B811BC">
        <w:t>,</w:t>
      </w:r>
    </w:p>
    <w:p w14:paraId="449D06FB" w14:textId="63313679" w:rsidR="006F3A9F" w:rsidRDefault="006F3A9F" w:rsidP="00FE7B56">
      <w:pPr>
        <w:keepLines/>
        <w:numPr>
          <w:ilvl w:val="0"/>
          <w:numId w:val="3"/>
        </w:numPr>
        <w:spacing w:before="120" w:after="120"/>
      </w:pPr>
      <w:r>
        <w:t xml:space="preserve">jest dłuższy niż 9 godzin – pracownik ma prawo do </w:t>
      </w:r>
      <w:r w:rsidR="00B811BC">
        <w:t>dodatkowej</w:t>
      </w:r>
      <w:r>
        <w:t xml:space="preserve"> przerwy w pracy trwającej</w:t>
      </w:r>
      <w:r w:rsidR="00113BC8">
        <w:t xml:space="preserve"> co najmniej 15 minut.</w:t>
      </w:r>
      <w:r w:rsidR="00B811BC">
        <w:t>”.</w:t>
      </w:r>
    </w:p>
    <w:p w14:paraId="68FF3758" w14:textId="77777777" w:rsidR="000762BF" w:rsidRDefault="00252BE8">
      <w:pPr>
        <w:keepNext/>
        <w:spacing w:before="280"/>
        <w:jc w:val="center"/>
      </w:pPr>
      <w:r>
        <w:rPr>
          <w:b/>
        </w:rPr>
        <w:t>§ 2. </w:t>
      </w:r>
    </w:p>
    <w:p w14:paraId="21FB0B8E" w14:textId="77777777" w:rsidR="00A77B3E" w:rsidRDefault="00252BE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Traci moc zarządzenie Nr 66/2020 Kanclerza Polskiej Akademii Nauk z dnia 20 października 2020 r. w sprawie wprowadzenia dodatkowych obowiązków pracowników Kancelarii Polskiej Akademii Nauk, w celu zapewnienia bezpieczeństwa w związku z rozprzestrzenianiem się wirusa SARS CoV-2, zmienionym zarządzeniem Nr 74/2020 Kanclerza Polskiej Akademii Nauka z dnia 2 grudnia 2020 r., zarządzeniem Nr 6/2021 Kanclerza Polskiej Akademii Nauk z dnia 27 stycznia 2021 r., zarządzeniem Nr 28/2021 Kanclerza Polskiej Akademii Nauk z dnia 12 maja 2021 r., zarządzeniem Nr 34/2021 Kanclerza Polskiej Akademii Nauk z dnia 27 maja 2021 r., zarządzeniem Nr 73/2021 Kanclerza Polskiej Akademii Nauk z dnia 15 listopada 2021 r., zarządzeniem Nr 75/2021 Kanclerza Polskiej Akademii Nauk z dnia 24 listopada 2021 r., zarządzeniem Nr 80/2021 Kanclerza Polskiej Akademii Nauk z dnia 28 grudnia 2021 r., zarządzeniem Nr 3/2022 Kanclerza Polskiej Akademii Nauk z dnia 19 stycznia 2022 r., zarządzeniem Nr 8/2022 Kanclerza Polskiej Akademii Nauk z dnia 27 stycznia 2022 r., zarządzeniem Nr 14/2022 Kanclerza Polskiej Akademii Nauk z dnia 10 lutego 2022 r., zarządzeniem Nr 18/2022 Kanclerza Polskiej Akademii Nauk z dnia 22 lutego 2022 r., zarządzeniem Nr 20/2022 Kanclerza Polskiej Akademii Nauk z dnia 3 marca 2022 r. oraz zarządzenie Nr 28/2022 Kanclerza Polskiej Akademii Nauk z dnia 28 marca 2022 r.</w:t>
      </w:r>
    </w:p>
    <w:p w14:paraId="36F6FF3C" w14:textId="77777777" w:rsidR="000762BF" w:rsidRDefault="00252BE8">
      <w:pPr>
        <w:keepNext/>
        <w:spacing w:before="280"/>
        <w:jc w:val="center"/>
      </w:pPr>
      <w:r>
        <w:rPr>
          <w:b/>
        </w:rPr>
        <w:t>§ 3. </w:t>
      </w:r>
    </w:p>
    <w:p w14:paraId="3CAA6090" w14:textId="77777777" w:rsidR="00A77B3E" w:rsidRDefault="00252BE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Zarządzenie wchodzi w życie po upływie dwóch tygodni od dnia ogłoszenia.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8"/>
        <w:gridCol w:w="4928"/>
      </w:tblGrid>
      <w:tr w:rsidR="000762BF" w14:paraId="5996500E" w14:textId="77777777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F473DE4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CF7FE69" w14:textId="77777777" w:rsidR="001647FB" w:rsidRDefault="001647FB">
            <w:pPr>
              <w:jc w:val="center"/>
              <w:rPr>
                <w:b/>
              </w:rPr>
            </w:pPr>
          </w:p>
          <w:p w14:paraId="1B1E3BE8" w14:textId="0D3748FE" w:rsidR="00A77B3E" w:rsidRDefault="00252BE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Kanclerz </w:t>
            </w:r>
          </w:p>
          <w:p w14:paraId="71ECF24B" w14:textId="77777777" w:rsidR="000762BF" w:rsidRDefault="00252BE8">
            <w:pPr>
              <w:jc w:val="center"/>
            </w:pPr>
            <w:r>
              <w:rPr>
                <w:b/>
              </w:rPr>
              <w:t>Polskiej Akademii Nauk</w:t>
            </w:r>
          </w:p>
          <w:p w14:paraId="2A181E3C" w14:textId="77777777" w:rsidR="000762BF" w:rsidRDefault="000762BF"/>
          <w:p w14:paraId="7A4CA85A" w14:textId="77777777" w:rsidR="000762BF" w:rsidRDefault="000762BF"/>
          <w:p w14:paraId="69E38C9D" w14:textId="77777777" w:rsidR="000762BF" w:rsidRDefault="00252BE8">
            <w:pPr>
              <w:jc w:val="center"/>
            </w:pPr>
            <w:r>
              <w:rPr>
                <w:b/>
              </w:rPr>
              <w:t>Rafał Wierzchosławski</w:t>
            </w:r>
          </w:p>
        </w:tc>
      </w:tr>
    </w:tbl>
    <w:p w14:paraId="768A0DF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ECABD" w14:textId="77777777" w:rsidR="00C00528" w:rsidRDefault="00C00528">
      <w:r>
        <w:separator/>
      </w:r>
    </w:p>
  </w:endnote>
  <w:endnote w:type="continuationSeparator" w:id="0">
    <w:p w14:paraId="3BA5EB3C" w14:textId="77777777" w:rsidR="00C00528" w:rsidRDefault="00C00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762BF" w14:paraId="1B9CAEC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A739147" w14:textId="6BE2C064" w:rsidR="000762BF" w:rsidRDefault="000762BF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E99569E" w14:textId="77777777" w:rsidR="000762BF" w:rsidRDefault="00252B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4E92DA1" w14:textId="77777777" w:rsidR="000762BF" w:rsidRDefault="000762B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4C167" w14:textId="77777777" w:rsidR="00C00528" w:rsidRDefault="00C00528">
      <w:r>
        <w:separator/>
      </w:r>
    </w:p>
  </w:footnote>
  <w:footnote w:type="continuationSeparator" w:id="0">
    <w:p w14:paraId="2FF31562" w14:textId="77777777" w:rsidR="00C00528" w:rsidRDefault="00C005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55D93"/>
    <w:multiLevelType w:val="hybridMultilevel"/>
    <w:tmpl w:val="1276A442"/>
    <w:lvl w:ilvl="0" w:tplc="F08E1F18">
      <w:start w:val="1"/>
      <w:numFmt w:val="decimal"/>
      <w:lvlText w:val="%1."/>
      <w:lvlJc w:val="left"/>
      <w:pPr>
        <w:ind w:left="1440" w:hanging="360"/>
      </w:pPr>
    </w:lvl>
    <w:lvl w:ilvl="1" w:tplc="63B6DAA4">
      <w:start w:val="1"/>
      <w:numFmt w:val="decimal"/>
      <w:lvlText w:val="%2."/>
      <w:lvlJc w:val="left"/>
      <w:pPr>
        <w:ind w:left="1440" w:hanging="360"/>
      </w:pPr>
    </w:lvl>
    <w:lvl w:ilvl="2" w:tplc="6756D7F6">
      <w:start w:val="1"/>
      <w:numFmt w:val="decimal"/>
      <w:lvlText w:val="%3."/>
      <w:lvlJc w:val="left"/>
      <w:pPr>
        <w:ind w:left="1440" w:hanging="360"/>
      </w:pPr>
    </w:lvl>
    <w:lvl w:ilvl="3" w:tplc="8FA2D774">
      <w:start w:val="1"/>
      <w:numFmt w:val="decimal"/>
      <w:lvlText w:val="%4."/>
      <w:lvlJc w:val="left"/>
      <w:pPr>
        <w:ind w:left="1440" w:hanging="360"/>
      </w:pPr>
    </w:lvl>
    <w:lvl w:ilvl="4" w:tplc="FC8EA166">
      <w:start w:val="1"/>
      <w:numFmt w:val="decimal"/>
      <w:lvlText w:val="%5."/>
      <w:lvlJc w:val="left"/>
      <w:pPr>
        <w:ind w:left="1440" w:hanging="360"/>
      </w:pPr>
    </w:lvl>
    <w:lvl w:ilvl="5" w:tplc="4F6EBC44">
      <w:start w:val="1"/>
      <w:numFmt w:val="decimal"/>
      <w:lvlText w:val="%6."/>
      <w:lvlJc w:val="left"/>
      <w:pPr>
        <w:ind w:left="1440" w:hanging="360"/>
      </w:pPr>
    </w:lvl>
    <w:lvl w:ilvl="6" w:tplc="1402EC86">
      <w:start w:val="1"/>
      <w:numFmt w:val="decimal"/>
      <w:lvlText w:val="%7."/>
      <w:lvlJc w:val="left"/>
      <w:pPr>
        <w:ind w:left="1440" w:hanging="360"/>
      </w:pPr>
    </w:lvl>
    <w:lvl w:ilvl="7" w:tplc="87BE1312">
      <w:start w:val="1"/>
      <w:numFmt w:val="decimal"/>
      <w:lvlText w:val="%8."/>
      <w:lvlJc w:val="left"/>
      <w:pPr>
        <w:ind w:left="1440" w:hanging="360"/>
      </w:pPr>
    </w:lvl>
    <w:lvl w:ilvl="8" w:tplc="D7E4C662">
      <w:start w:val="1"/>
      <w:numFmt w:val="decimal"/>
      <w:lvlText w:val="%9."/>
      <w:lvlJc w:val="left"/>
      <w:pPr>
        <w:ind w:left="1440" w:hanging="360"/>
      </w:pPr>
    </w:lvl>
  </w:abstractNum>
  <w:abstractNum w:abstractNumId="1" w15:restartNumberingAfterBreak="0">
    <w:nsid w:val="4D700359"/>
    <w:multiLevelType w:val="hybridMultilevel"/>
    <w:tmpl w:val="A12CB7C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" w15:restartNumberingAfterBreak="0">
    <w:nsid w:val="5AD96DBD"/>
    <w:multiLevelType w:val="hybridMultilevel"/>
    <w:tmpl w:val="495A69B0"/>
    <w:lvl w:ilvl="0" w:tplc="04150011">
      <w:start w:val="1"/>
      <w:numFmt w:val="decimal"/>
      <w:lvlText w:val="%1)"/>
      <w:lvlJc w:val="left"/>
      <w:pPr>
        <w:ind w:left="11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3" w:hanging="360"/>
      </w:pPr>
    </w:lvl>
    <w:lvl w:ilvl="2" w:tplc="0415001B" w:tentative="1">
      <w:start w:val="1"/>
      <w:numFmt w:val="lowerRoman"/>
      <w:lvlText w:val="%3."/>
      <w:lvlJc w:val="right"/>
      <w:pPr>
        <w:ind w:left="2593" w:hanging="180"/>
      </w:pPr>
    </w:lvl>
    <w:lvl w:ilvl="3" w:tplc="0415000F" w:tentative="1">
      <w:start w:val="1"/>
      <w:numFmt w:val="decimal"/>
      <w:lvlText w:val="%4."/>
      <w:lvlJc w:val="left"/>
      <w:pPr>
        <w:ind w:left="3313" w:hanging="360"/>
      </w:pPr>
    </w:lvl>
    <w:lvl w:ilvl="4" w:tplc="04150019" w:tentative="1">
      <w:start w:val="1"/>
      <w:numFmt w:val="lowerLetter"/>
      <w:lvlText w:val="%5."/>
      <w:lvlJc w:val="left"/>
      <w:pPr>
        <w:ind w:left="4033" w:hanging="360"/>
      </w:pPr>
    </w:lvl>
    <w:lvl w:ilvl="5" w:tplc="0415001B" w:tentative="1">
      <w:start w:val="1"/>
      <w:numFmt w:val="lowerRoman"/>
      <w:lvlText w:val="%6."/>
      <w:lvlJc w:val="right"/>
      <w:pPr>
        <w:ind w:left="4753" w:hanging="180"/>
      </w:pPr>
    </w:lvl>
    <w:lvl w:ilvl="6" w:tplc="0415000F" w:tentative="1">
      <w:start w:val="1"/>
      <w:numFmt w:val="decimal"/>
      <w:lvlText w:val="%7."/>
      <w:lvlJc w:val="left"/>
      <w:pPr>
        <w:ind w:left="5473" w:hanging="360"/>
      </w:pPr>
    </w:lvl>
    <w:lvl w:ilvl="7" w:tplc="04150019" w:tentative="1">
      <w:start w:val="1"/>
      <w:numFmt w:val="lowerLetter"/>
      <w:lvlText w:val="%8."/>
      <w:lvlJc w:val="left"/>
      <w:pPr>
        <w:ind w:left="6193" w:hanging="360"/>
      </w:pPr>
    </w:lvl>
    <w:lvl w:ilvl="8" w:tplc="0415001B" w:tentative="1">
      <w:start w:val="1"/>
      <w:numFmt w:val="lowerRoman"/>
      <w:lvlText w:val="%9."/>
      <w:lvlJc w:val="right"/>
      <w:pPr>
        <w:ind w:left="6913" w:hanging="180"/>
      </w:pPr>
    </w:lvl>
  </w:abstractNum>
  <w:num w:numId="1" w16cid:durableId="2111274914">
    <w:abstractNumId w:val="1"/>
  </w:num>
  <w:num w:numId="2" w16cid:durableId="215245951">
    <w:abstractNumId w:val="0"/>
  </w:num>
  <w:num w:numId="3" w16cid:durableId="20830631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126AB"/>
    <w:rsid w:val="0001736D"/>
    <w:rsid w:val="000762BF"/>
    <w:rsid w:val="00084884"/>
    <w:rsid w:val="00113BC8"/>
    <w:rsid w:val="00132573"/>
    <w:rsid w:val="00136AFE"/>
    <w:rsid w:val="001647FB"/>
    <w:rsid w:val="001758E6"/>
    <w:rsid w:val="002012AF"/>
    <w:rsid w:val="0020645F"/>
    <w:rsid w:val="00252BE8"/>
    <w:rsid w:val="00270B2D"/>
    <w:rsid w:val="002F64EC"/>
    <w:rsid w:val="00306E7C"/>
    <w:rsid w:val="0031465F"/>
    <w:rsid w:val="00341A5F"/>
    <w:rsid w:val="0034561C"/>
    <w:rsid w:val="003D324C"/>
    <w:rsid w:val="00415079"/>
    <w:rsid w:val="00434153"/>
    <w:rsid w:val="0043745A"/>
    <w:rsid w:val="00445303"/>
    <w:rsid w:val="00452987"/>
    <w:rsid w:val="00491D82"/>
    <w:rsid w:val="004D0DF3"/>
    <w:rsid w:val="00550C4E"/>
    <w:rsid w:val="005809C9"/>
    <w:rsid w:val="006050F8"/>
    <w:rsid w:val="00646DE3"/>
    <w:rsid w:val="006C0776"/>
    <w:rsid w:val="006D2157"/>
    <w:rsid w:val="006F1BC9"/>
    <w:rsid w:val="006F3A9F"/>
    <w:rsid w:val="0070563D"/>
    <w:rsid w:val="00705725"/>
    <w:rsid w:val="00712C6A"/>
    <w:rsid w:val="00724B36"/>
    <w:rsid w:val="007C49C0"/>
    <w:rsid w:val="008154D0"/>
    <w:rsid w:val="00823261"/>
    <w:rsid w:val="0084460C"/>
    <w:rsid w:val="0086281C"/>
    <w:rsid w:val="009851C9"/>
    <w:rsid w:val="009C185E"/>
    <w:rsid w:val="00A77B3E"/>
    <w:rsid w:val="00A915BB"/>
    <w:rsid w:val="00A96205"/>
    <w:rsid w:val="00A97863"/>
    <w:rsid w:val="00AA1EA8"/>
    <w:rsid w:val="00AB2595"/>
    <w:rsid w:val="00B674EC"/>
    <w:rsid w:val="00B811BC"/>
    <w:rsid w:val="00B85F6D"/>
    <w:rsid w:val="00BB4888"/>
    <w:rsid w:val="00BE5170"/>
    <w:rsid w:val="00C00528"/>
    <w:rsid w:val="00C204D7"/>
    <w:rsid w:val="00C877FE"/>
    <w:rsid w:val="00C93705"/>
    <w:rsid w:val="00CA2A55"/>
    <w:rsid w:val="00CB6C1F"/>
    <w:rsid w:val="00D04AFB"/>
    <w:rsid w:val="00D625E2"/>
    <w:rsid w:val="00D630A3"/>
    <w:rsid w:val="00EB65D3"/>
    <w:rsid w:val="00F14182"/>
    <w:rsid w:val="00F15A4B"/>
    <w:rsid w:val="00FD68B5"/>
    <w:rsid w:val="00FE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F6F28C"/>
  <w15:docId w15:val="{E79E4276-2A8A-4EDA-A04C-939B55249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52B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52BE8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252B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52BE8"/>
    <w:rPr>
      <w:rFonts w:ascii="Public Sans" w:eastAsia="Public Sans" w:hAnsi="Public Sans" w:cs="Public Sans"/>
      <w:sz w:val="22"/>
      <w:szCs w:val="24"/>
    </w:rPr>
  </w:style>
  <w:style w:type="character" w:styleId="Odwoaniedokomentarza">
    <w:name w:val="annotation reference"/>
    <w:basedOn w:val="Domylnaczcionkaakapitu"/>
    <w:semiHidden/>
    <w:unhideWhenUsed/>
    <w:rsid w:val="0013257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325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32573"/>
    <w:rPr>
      <w:rFonts w:ascii="Public Sans" w:eastAsia="Public Sans" w:hAnsi="Public Sans" w:cs="Public Sans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325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32573"/>
    <w:rPr>
      <w:rFonts w:ascii="Public Sans" w:eastAsia="Public Sans" w:hAnsi="Public Sans" w:cs="Public Sans"/>
      <w:b/>
      <w:bCs/>
    </w:rPr>
  </w:style>
  <w:style w:type="paragraph" w:styleId="Poprawka">
    <w:name w:val="Revision"/>
    <w:hidden/>
    <w:uiPriority w:val="99"/>
    <w:semiHidden/>
    <w:rsid w:val="00EB65D3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3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5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685000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61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40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52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488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844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BA0B5-FA46-49F2-A17B-F8B6E4E88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4228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Kanclerz Polskiej Akademii Nauk</Company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wprowadzenia Regulaminu Pracy Kancelarii Polskiej Akademii Nauk</dc:subject>
  <dc:creator>mfedorowicz</dc:creator>
  <cp:lastModifiedBy>Małgorzata Fedorowicz</cp:lastModifiedBy>
  <cp:revision>10</cp:revision>
  <cp:lastPrinted>2023-04-18T11:00:00Z</cp:lastPrinted>
  <dcterms:created xsi:type="dcterms:W3CDTF">2023-04-19T10:12:00Z</dcterms:created>
  <dcterms:modified xsi:type="dcterms:W3CDTF">2023-04-19T12:35:00Z</dcterms:modified>
  <cp:category>Akt prawny</cp:category>
</cp:coreProperties>
</file>