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ACF0A" w14:textId="2983A9BE" w:rsidR="00A77B3E" w:rsidRDefault="00C515D0" w:rsidP="00C87347">
      <w:pPr>
        <w:pStyle w:val="Nagwek1"/>
      </w:pPr>
      <w:r w:rsidRPr="00C87347">
        <w:rPr>
          <w:b/>
          <w:bCs/>
        </w:rPr>
        <w:t xml:space="preserve">Uchwała Nr </w:t>
      </w:r>
      <w:r w:rsidR="00860E3F" w:rsidRPr="00C87347">
        <w:rPr>
          <w:b/>
          <w:bCs/>
        </w:rPr>
        <w:t>12</w:t>
      </w:r>
      <w:r w:rsidRPr="00C87347">
        <w:rPr>
          <w:b/>
          <w:bCs/>
        </w:rPr>
        <w:t>/2023</w:t>
      </w:r>
      <w:r w:rsidRPr="00C87347">
        <w:rPr>
          <w:b/>
          <w:bCs/>
        </w:rPr>
        <w:br/>
        <w:t>Prezydium Polskiej Akademii Nauk</w:t>
      </w:r>
      <w:r w:rsidR="00C87347">
        <w:br/>
      </w:r>
      <w:r>
        <w:t>z dnia 21 lutego 2023 r.</w:t>
      </w:r>
    </w:p>
    <w:p w14:paraId="731ACF0B" w14:textId="77777777" w:rsidR="00A77B3E" w:rsidRDefault="00C515D0" w:rsidP="00C87347">
      <w:pPr>
        <w:keepNext/>
        <w:spacing w:before="240" w:after="240" w:line="288" w:lineRule="auto"/>
        <w:jc w:val="center"/>
      </w:pPr>
      <w:r>
        <w:rPr>
          <w:b/>
        </w:rPr>
        <w:t>zmieniająca uchwałę w sprawie regulaminu działalności Kanclerza Akademii i Kancelarii Akademii</w:t>
      </w:r>
    </w:p>
    <w:p w14:paraId="731ACF0C" w14:textId="575DBA48" w:rsidR="00A77B3E" w:rsidRDefault="00C515D0" w:rsidP="00C87347">
      <w:pPr>
        <w:keepLines/>
        <w:spacing w:before="240" w:after="240" w:line="288" w:lineRule="auto"/>
        <w:ind w:firstLine="227"/>
      </w:pPr>
      <w:r>
        <w:t>Na podstawie art. 26 ust. 3 ustawy z dnia 30 kwietnia 2010 r. o Polskiej Akademii Nauk (Dz. U. z 2020 r.</w:t>
      </w:r>
      <w:r w:rsidR="00763DFC">
        <w:t xml:space="preserve"> </w:t>
      </w:r>
      <w:r>
        <w:t>poz. 1796) uchwala się, co następuje:</w:t>
      </w:r>
    </w:p>
    <w:p w14:paraId="731ACF0D" w14:textId="77777777" w:rsidR="00837A40" w:rsidRDefault="00C515D0" w:rsidP="00C87347">
      <w:pPr>
        <w:keepNext/>
        <w:spacing w:before="240" w:after="240" w:line="288" w:lineRule="auto"/>
        <w:jc w:val="center"/>
      </w:pPr>
      <w:r>
        <w:rPr>
          <w:b/>
        </w:rPr>
        <w:t>§ 1. </w:t>
      </w:r>
    </w:p>
    <w:p w14:paraId="731ACF0E" w14:textId="78703C9E" w:rsidR="00A77B3E" w:rsidRDefault="00C515D0" w:rsidP="00C87347">
      <w:pPr>
        <w:keepLines/>
        <w:spacing w:before="240" w:after="240" w:line="288" w:lineRule="auto"/>
        <w:ind w:firstLine="340"/>
      </w:pPr>
      <w:r>
        <w:t>W Regulaminie działalności Kanclerza Akademii i Kancelarii Akademii, stanowiącym załącznik do uchwały Nr 54/2015 Prezydium Polskiej Akademii Nauk z dnia 22 września</w:t>
      </w:r>
      <w:r w:rsidR="00C87347">
        <w:t xml:space="preserve"> </w:t>
      </w:r>
      <w:r>
        <w:t>2015 r. w sprawie regulaminu działalności Kanclerza Akademii i Kancelarii Akademii, zmienionej uchwałą Nr 1/2016 Prezydium Polskiej Akademii Nauk z dnia 19 stycznia 2016 r., uchwałą Nr 53/2016 Prezydium Polskiej Akademii Nauk z dnia 20 września 2016 r., uchwałą Nr 2/2017 Prezydium Polskiej Akademii Nauk z dnia 24 stycznia 2017 r., uchwałą Nr 58/2019 Prezydium Polskiej Akademii Nauk z dnia 17 września 2019 r. oraz uchwałą Nr 39/2020 Prezydium Polskiej Akademii Nauk z dnia 22 września 2020 r. oraz uchwałą nr 9/2022 Prezydium Polskiej Akademii Nauk z dnia 15 marca 2022 r., zwanym dalej „Regulaminem”, wprowadza się następujące zmiany:</w:t>
      </w:r>
    </w:p>
    <w:p w14:paraId="41C62411" w14:textId="77777777" w:rsidR="00C87347" w:rsidRDefault="00C515D0" w:rsidP="00C87347">
      <w:pPr>
        <w:numPr>
          <w:ilvl w:val="0"/>
          <w:numId w:val="1"/>
        </w:numPr>
        <w:spacing w:before="240" w:after="240" w:line="288" w:lineRule="auto"/>
      </w:pPr>
      <w:r>
        <w:t>w § 8:</w:t>
      </w:r>
    </w:p>
    <w:p w14:paraId="59CF5942" w14:textId="77777777" w:rsidR="00C87347" w:rsidRDefault="00C515D0" w:rsidP="00C87347">
      <w:pPr>
        <w:numPr>
          <w:ilvl w:val="1"/>
          <w:numId w:val="1"/>
        </w:numPr>
        <w:spacing w:before="240" w:after="240" w:line="288" w:lineRule="auto"/>
      </w:pPr>
      <w:r>
        <w:t>uchyla się pkt 9-12;</w:t>
      </w:r>
    </w:p>
    <w:p w14:paraId="731ACF11" w14:textId="71D6D5A7" w:rsidR="00A77B3E" w:rsidRDefault="00C515D0" w:rsidP="00C87347">
      <w:pPr>
        <w:numPr>
          <w:ilvl w:val="1"/>
          <w:numId w:val="1"/>
        </w:numPr>
        <w:spacing w:before="240" w:after="240" w:line="288" w:lineRule="auto"/>
      </w:pPr>
      <w:r>
        <w:t>po pkt 14 dodaje się pkt 15 i pkt 16 w brzmieniu:</w:t>
      </w:r>
    </w:p>
    <w:p w14:paraId="731ACF12" w14:textId="77777777" w:rsidR="00A77B3E" w:rsidRDefault="00C515D0" w:rsidP="00C87347">
      <w:pPr>
        <w:spacing w:before="240" w:after="240" w:line="288" w:lineRule="auto"/>
        <w:ind w:left="1020" w:hanging="340"/>
      </w:pPr>
      <w:r>
        <w:t>„15) Zespół Audytu i Kontroli Wewnętrznej;</w:t>
      </w:r>
    </w:p>
    <w:p w14:paraId="1DF6FB57" w14:textId="77777777" w:rsidR="00C87347" w:rsidRDefault="00C515D0" w:rsidP="00C87347">
      <w:pPr>
        <w:spacing w:before="240" w:after="240" w:line="288" w:lineRule="auto"/>
        <w:ind w:left="1020" w:hanging="227"/>
      </w:pPr>
      <w:r>
        <w:t>16) Zespół Zarządzania Kryzysowego i Ochrony Informacji Niejawnych.”;;</w:t>
      </w:r>
    </w:p>
    <w:p w14:paraId="54FA30F7" w14:textId="77777777" w:rsidR="00C87347" w:rsidRDefault="00C515D0" w:rsidP="00C87347">
      <w:pPr>
        <w:numPr>
          <w:ilvl w:val="0"/>
          <w:numId w:val="1"/>
        </w:numPr>
        <w:spacing w:before="240" w:after="240" w:line="288" w:lineRule="auto"/>
      </w:pPr>
      <w:r>
        <w:t>uchyla się § 17 - 18 i § 19 - 20;</w:t>
      </w:r>
    </w:p>
    <w:p w14:paraId="731ACF15" w14:textId="620E2DA6" w:rsidR="00A77B3E" w:rsidRDefault="00C515D0" w:rsidP="00C87347">
      <w:pPr>
        <w:numPr>
          <w:ilvl w:val="0"/>
          <w:numId w:val="1"/>
        </w:numPr>
        <w:spacing w:before="240" w:after="240" w:line="288" w:lineRule="auto"/>
      </w:pPr>
      <w:r>
        <w:t>po § 21 dodaje się § 21a i § 21b w brzmieniu:</w:t>
      </w:r>
    </w:p>
    <w:p w14:paraId="731ACF16" w14:textId="2391CB81" w:rsidR="00A77B3E" w:rsidRDefault="00C515D0" w:rsidP="00C87347">
      <w:pPr>
        <w:spacing w:before="240" w:after="240" w:line="288" w:lineRule="auto"/>
        <w:ind w:firstLine="227"/>
        <w:jc w:val="center"/>
      </w:pPr>
      <w:r>
        <w:t>"</w:t>
      </w:r>
      <w:r w:rsidRPr="00A46965">
        <w:rPr>
          <w:b/>
          <w:bCs/>
        </w:rPr>
        <w:t>§ 21a</w:t>
      </w:r>
    </w:p>
    <w:p w14:paraId="731ACF17" w14:textId="77777777" w:rsidR="00A77B3E" w:rsidRDefault="00C515D0" w:rsidP="00C87347">
      <w:pPr>
        <w:spacing w:before="240" w:after="240" w:line="288" w:lineRule="auto"/>
        <w:ind w:firstLine="227"/>
        <w:jc w:val="center"/>
      </w:pPr>
      <w:r>
        <w:t>Do zakresu działania Zespołu Audytu i Kontroli Wewnętrznej należy w szczególności:</w:t>
      </w:r>
    </w:p>
    <w:p w14:paraId="4B2D6F53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sporządzenie analizy ryzyka i przygotowanie, w porozumieniu z Prezesem Akademii rocznego planu audytu oraz przekazanie rocznego planu audytu do komórki audytu wewnętrznego w Ministerstwie Finansów;</w:t>
      </w:r>
    </w:p>
    <w:p w14:paraId="3F3E1A49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sporządzenie, przedstawienie Prezesowi Akademii i przekazanie do komórki audytu wewnętrznego w Ministerstwie Finansów sprawozdania z realizacji zadań, ujętych w planie audytu za rok poprzedni, sporządzenie w każdym czasie, na ich wniosek, szczegółowych informacji na temat przeprowadzanych audytów;</w:t>
      </w:r>
    </w:p>
    <w:p w14:paraId="0956C809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lastRenderedPageBreak/>
        <w:t>prowadzenie w Kancelarii Akademii oraz w jednostkach organizacyjnych Akademii, z wyłączeniem jednostek naukowych Akademii, audytu wewnętrznego, obejmującego:</w:t>
      </w:r>
    </w:p>
    <w:p w14:paraId="4A6AB997" w14:textId="77777777" w:rsidR="00C87347" w:rsidRDefault="00C515D0" w:rsidP="00C87347">
      <w:pPr>
        <w:numPr>
          <w:ilvl w:val="1"/>
          <w:numId w:val="3"/>
        </w:numPr>
        <w:spacing w:before="240" w:after="240" w:line="288" w:lineRule="auto"/>
      </w:pPr>
      <w:r>
        <w:t>niezależne i obiektywne badanie, mające na celu ocenę systemu kontroli zarządczej,</w:t>
      </w:r>
    </w:p>
    <w:p w14:paraId="68DD5DFA" w14:textId="77777777" w:rsidR="00C87347" w:rsidRDefault="00C515D0" w:rsidP="00C87347">
      <w:pPr>
        <w:numPr>
          <w:ilvl w:val="1"/>
          <w:numId w:val="3"/>
        </w:numPr>
        <w:spacing w:before="240" w:after="240" w:line="288" w:lineRule="auto"/>
      </w:pPr>
      <w:r>
        <w:t>czynności doradcze, w tym składanie wniosków, mających na celu usprawnienie funkcjonowania jednostki,</w:t>
      </w:r>
    </w:p>
    <w:p w14:paraId="3015074D" w14:textId="77777777" w:rsidR="00C87347" w:rsidRDefault="00C515D0" w:rsidP="00C87347">
      <w:pPr>
        <w:numPr>
          <w:ilvl w:val="1"/>
          <w:numId w:val="3"/>
        </w:numPr>
        <w:spacing w:before="240" w:after="240" w:line="288" w:lineRule="auto"/>
      </w:pPr>
      <w:r>
        <w:t>czynności sprawdzające, mające na celu ocenę terminowości oraz poprawności wdrożenia zaleceń wynikających z przeprowadzonych dotychczas audytów;</w:t>
      </w:r>
    </w:p>
    <w:p w14:paraId="79875EE1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przeprowadzanie w uzasadnionych przypadkach, na zlecenia Prezesa Akademii, audytu poza rocznym planem audytu;</w:t>
      </w:r>
    </w:p>
    <w:p w14:paraId="1D7A40B8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wdrażanie rządowych programów antykorupcyjnych do działalności Akademii, jej jednostek naukowych i innych jednostek organizacyjnych;</w:t>
      </w:r>
    </w:p>
    <w:p w14:paraId="5C8F09CE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wdrażanie efektywnych mechanizmów walki z korupcją w działalności Akademii, jej jednostek naukowych i innych jednostek organizacyjnych;</w:t>
      </w:r>
    </w:p>
    <w:p w14:paraId="5DD2A8A1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zapobieganie zjawiskom korupcji i wdrożenie mechanizmów, umożliwiających jej skuteczne przeciwdziałanie;</w:t>
      </w:r>
    </w:p>
    <w:p w14:paraId="5BF0AEF8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zwiększenie świadomości publicznej i promocja etycznych wzorców postępowania;</w:t>
      </w:r>
    </w:p>
    <w:p w14:paraId="154F3C41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reagowanie na sygnały o zjawiskach korupcyjnych w działalności Akademii, jej jednostek naukowych i innych jednostek organizacyjnych.</w:t>
      </w:r>
    </w:p>
    <w:p w14:paraId="117A64E7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koordynowanie i obsługa kontroli finansowej jednostek organizacyjnych Akademii dotyczących wykorzystania środków publicznych oraz gospodarowania mieniem;</w:t>
      </w:r>
    </w:p>
    <w:p w14:paraId="1BD9EB6E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wykonywanie kontroli jednostek organizacyjnych Akademii zleconych przez Prezesa Akademii i Kanclerza Akademii;</w:t>
      </w:r>
    </w:p>
    <w:p w14:paraId="5F854457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opracowywanie sprawozdań z przeprowadzonych kontroli;</w:t>
      </w:r>
    </w:p>
    <w:p w14:paraId="04C7AC85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monitorowanie wykonania przez jednostki organizacyjne Akademii wniosków i zaleceń pokontrolnych;</w:t>
      </w:r>
    </w:p>
    <w:p w14:paraId="613EB757" w14:textId="77777777" w:rsidR="00C87347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współdziałanie z organami kontroli zewnętrznej.</w:t>
      </w:r>
    </w:p>
    <w:p w14:paraId="731ACF29" w14:textId="5BAEF01F" w:rsidR="00A77B3E" w:rsidRDefault="00C515D0" w:rsidP="00C87347">
      <w:pPr>
        <w:numPr>
          <w:ilvl w:val="0"/>
          <w:numId w:val="3"/>
        </w:numPr>
        <w:spacing w:before="240" w:after="240" w:line="288" w:lineRule="auto"/>
      </w:pPr>
      <w:r>
        <w:t>gromadzenie, przechowywanie oraz przekazywanie do archiwum akt stałych i akt bieżących audytu.</w:t>
      </w:r>
    </w:p>
    <w:p w14:paraId="731ACF2A" w14:textId="77777777" w:rsidR="00837A40" w:rsidRDefault="00C515D0" w:rsidP="00C87347">
      <w:pPr>
        <w:keepNext/>
        <w:spacing w:before="240" w:after="240" w:line="288" w:lineRule="auto"/>
        <w:jc w:val="center"/>
      </w:pPr>
      <w:r>
        <w:rPr>
          <w:b/>
        </w:rPr>
        <w:t>§ 21b. </w:t>
      </w:r>
    </w:p>
    <w:p w14:paraId="731ACF2B" w14:textId="77777777" w:rsidR="00A77B3E" w:rsidRDefault="00C515D0" w:rsidP="00C87347">
      <w:pPr>
        <w:keepLines/>
        <w:spacing w:before="240" w:after="240" w:line="288" w:lineRule="auto"/>
        <w:ind w:firstLine="340"/>
      </w:pPr>
      <w:r>
        <w:t>Do zakresu działania Zespołu Zarządzania Kryzysowego i Ochrony Informacji Niejawnych należy w szczególności:</w:t>
      </w:r>
    </w:p>
    <w:p w14:paraId="47711F51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lastRenderedPageBreak/>
        <w:t>opracowywanie i realizacja Planu Operacyjnego funkcjonowania Kancelarii Akademii; przygotowanie i wdrażanie dokumentów związanych z działaniem obrony cywilnej w Kancelarii Akademii oraz w innych jednostkach organizacyjnych Akademii;</w:t>
      </w:r>
    </w:p>
    <w:p w14:paraId="3E0C3B93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koordynowanie spraw związanych z ochroną zabytków w okresie zagrożeń, kryzysu, wojny będących w ewidencji jednostek organizacyjnych Akademii;</w:t>
      </w:r>
    </w:p>
    <w:p w14:paraId="12FAB7D7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opracowywanie dokumentacji i utrzymywanie w ciągłej gotowości systemu stałego dyżuru w Akademii jako elementu gotowości obronnej państwa;</w:t>
      </w:r>
    </w:p>
    <w:p w14:paraId="270813F2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organizacja i prowadzenie szkoleń w zakresie zadań Zespołu;</w:t>
      </w:r>
    </w:p>
    <w:p w14:paraId="0EC779E0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realizacja zadań wynikających z przepisów ustawy o ochronie informacji niejawnych;</w:t>
      </w:r>
    </w:p>
    <w:p w14:paraId="224BDE3E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przeprowadzanie kontroli ochrony informacji niejawnych oraz przestrzegania przepisów w tym zakresie;</w:t>
      </w:r>
    </w:p>
    <w:p w14:paraId="43D92FF6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szkolenie pracowników w zakresie ochrony informacji niejawnych;</w:t>
      </w:r>
    </w:p>
    <w:p w14:paraId="4ADD01CF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okresowa kontrola ewidencji i obiegu dokumentów niejawnych;</w:t>
      </w:r>
    </w:p>
    <w:p w14:paraId="1417B794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przeprowadzanie zwykłych postępowań sprawdzających, na polecenie Prezesa Akademii;</w:t>
      </w:r>
    </w:p>
    <w:p w14:paraId="3F5AB347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opracowywanie stosownych dokumentów związanych z planem ochrony informacji niejawnych oraz nadzorowanie jej realizacji;</w:t>
      </w:r>
    </w:p>
    <w:p w14:paraId="5047EC68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opracowywanie dokumentacji bezpieczeństwa teleinformatycznego oraz nadzorowanie jej realizacji;</w:t>
      </w:r>
    </w:p>
    <w:p w14:paraId="298C8ADC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podejmowanie działań zmierzających do wyjaśnienia okoliczności naruszeń przepisów ustawy o ochronie informacji niejawnych;</w:t>
      </w:r>
    </w:p>
    <w:p w14:paraId="54986090" w14:textId="77777777" w:rsidR="00C87347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prowadzenie Kancelarii Dokumentów Niejawnych;</w:t>
      </w:r>
    </w:p>
    <w:p w14:paraId="731ACF39" w14:textId="4A3E56E5" w:rsidR="00A77B3E" w:rsidRDefault="00C515D0" w:rsidP="00C87347">
      <w:pPr>
        <w:numPr>
          <w:ilvl w:val="0"/>
          <w:numId w:val="4"/>
        </w:numPr>
        <w:spacing w:before="240" w:after="240" w:line="288" w:lineRule="auto"/>
      </w:pPr>
      <w:r>
        <w:t>współpraca z ABW w zakresie ochrony informacji niejawnych.”</w:t>
      </w:r>
    </w:p>
    <w:p w14:paraId="731ACF3A" w14:textId="77777777" w:rsidR="00837A40" w:rsidRDefault="00C515D0" w:rsidP="00C87347">
      <w:pPr>
        <w:keepNext/>
        <w:spacing w:before="240" w:after="240" w:line="288" w:lineRule="auto"/>
        <w:jc w:val="center"/>
      </w:pPr>
      <w:r>
        <w:rPr>
          <w:b/>
        </w:rPr>
        <w:t>§ 2. </w:t>
      </w:r>
    </w:p>
    <w:p w14:paraId="731ACF3B" w14:textId="2C5F4A71" w:rsidR="00A77B3E" w:rsidRDefault="00C515D0" w:rsidP="00C87347">
      <w:pPr>
        <w:keepLines/>
        <w:spacing w:before="240" w:after="240" w:line="288" w:lineRule="auto"/>
        <w:ind w:firstLine="340"/>
      </w:pPr>
      <w:r>
        <w:t>Schemat struktury organizacyjnej Kancelarii Polskiej Akademii Nauk otrzymuje brzmienie określone w załączniku do niniejszej uchwały.</w:t>
      </w:r>
    </w:p>
    <w:p w14:paraId="731ACF3C" w14:textId="77777777" w:rsidR="00837A40" w:rsidRDefault="00C515D0" w:rsidP="00C87347">
      <w:pPr>
        <w:keepNext/>
        <w:spacing w:before="240" w:after="240" w:line="288" w:lineRule="auto"/>
        <w:jc w:val="center"/>
      </w:pPr>
      <w:r>
        <w:rPr>
          <w:b/>
        </w:rPr>
        <w:t>§ 3. </w:t>
      </w:r>
    </w:p>
    <w:p w14:paraId="731ACF3D" w14:textId="77777777" w:rsidR="00A77B3E" w:rsidRDefault="00C515D0" w:rsidP="00C87347">
      <w:pPr>
        <w:keepNext/>
        <w:keepLines/>
        <w:spacing w:before="240" w:after="240" w:line="288" w:lineRule="auto"/>
        <w:ind w:firstLine="340"/>
      </w:pPr>
      <w:r>
        <w:t>Uchwała wchodzi w życie z dniem podjęcia.</w:t>
      </w:r>
    </w:p>
    <w:p w14:paraId="312B73CE" w14:textId="77777777" w:rsidR="00C87347" w:rsidRDefault="00C87347" w:rsidP="00C87347">
      <w:pPr>
        <w:keepNext/>
        <w:spacing w:before="240" w:after="240" w:line="288" w:lineRule="auto"/>
        <w:ind w:left="6804"/>
        <w:jc w:val="center"/>
        <w:rPr>
          <w:color w:val="000000"/>
          <w:szCs w:val="22"/>
        </w:rPr>
      </w:pPr>
      <w:r>
        <w:rPr>
          <w:color w:val="000000"/>
          <w:szCs w:val="22"/>
        </w:rPr>
        <w:t>Prezes</w:t>
      </w:r>
      <w:r>
        <w:rPr>
          <w:color w:val="000000"/>
          <w:szCs w:val="22"/>
        </w:rPr>
        <w:br/>
        <w:t>Polskiej Akademii Nauk</w:t>
      </w:r>
    </w:p>
    <w:p w14:paraId="731ACF43" w14:textId="11457879" w:rsidR="00A77B3E" w:rsidRDefault="00C87347" w:rsidP="00C87347">
      <w:pPr>
        <w:keepNext/>
        <w:spacing w:before="600" w:after="240" w:line="288" w:lineRule="auto"/>
        <w:ind w:left="6804"/>
        <w:jc w:val="center"/>
        <w:sectPr w:rsidR="00A77B3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Marek Konarzewski</w:t>
      </w:r>
    </w:p>
    <w:p w14:paraId="731ACF45" w14:textId="77777777" w:rsidR="00837A40" w:rsidRPr="00C87347" w:rsidRDefault="00C515D0" w:rsidP="00C87347">
      <w:pPr>
        <w:pStyle w:val="Nagwek1"/>
        <w:rPr>
          <w:b/>
          <w:bCs/>
        </w:rPr>
      </w:pPr>
      <w:r w:rsidRPr="00C87347">
        <w:rPr>
          <w:b/>
          <w:bCs/>
        </w:rPr>
        <w:lastRenderedPageBreak/>
        <w:t>Uzasadnienie</w:t>
      </w:r>
    </w:p>
    <w:p w14:paraId="731ACF46" w14:textId="2899C350" w:rsidR="00837A40" w:rsidRDefault="00C515D0" w:rsidP="00C87347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dotychczasowej strukturze organizacyjnej Kancelarii, realizacja zadań o charakterze kontrolnym i prewencyjnym, tj. z zakresu audytu wewnętrznego, kontroli wewnętrznej i kontroli/prewencji antykorupcyjnej była rozdzielona pomiędzy dwa stanowiska samodzielne, oraz stanowisko wieloosobowe. Skutkowało to utrudnieniami w przepływie informacji oraz brakiem koordynacji podejmowanych działań, m.in. sporządzane były odrębne plany zadaniowe, przy braku konsultacji pomiędzy odpowiedzialnymi komórkami organizacyjnymi.</w:t>
      </w:r>
    </w:p>
    <w:p w14:paraId="731ACF47" w14:textId="77777777" w:rsidR="00837A40" w:rsidRDefault="00C515D0" w:rsidP="00C87347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Proponowana zmiana w postaci likwidacji samodzielnych i wieloosobowych komórek organizacyjnych oraz powołanie w ich miejsce </w:t>
      </w:r>
      <w:r>
        <w:rPr>
          <w:rFonts w:eastAsia="Times New Roman" w:cs="Times New Roman"/>
          <w:b/>
          <w:color w:val="000000"/>
          <w:szCs w:val="20"/>
          <w:u w:color="000000"/>
        </w:rPr>
        <w:t>Zespołu Audytu i Kontroli Wewnętrznej</w:t>
      </w:r>
      <w:r>
        <w:rPr>
          <w:rFonts w:eastAsia="Times New Roman" w:cs="Times New Roman"/>
          <w:color w:val="000000"/>
          <w:szCs w:val="20"/>
          <w:u w:color="000000"/>
        </w:rPr>
        <w:t xml:space="preserve"> ma na celu centralizację wszystkich zadań o charakterze kontrolnym i prewencyjnym, co ma skutkować lepszą koordynacją, a co za tym idzie, skutecznością podejmowanych działań. </w:t>
      </w:r>
    </w:p>
    <w:p w14:paraId="731ACF48" w14:textId="77777777" w:rsidR="00837A40" w:rsidRDefault="00C515D0" w:rsidP="00C87347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 kolei, zadania z zakresu Bezpieczeństwa i Ochrony Informacji Niejawnych (BOIN), realizowane były przez Wieloosobowe Stanowisko ds. BOIN (WS BOIN), wspomagane przez osoby Pełnomocnika ds. Ochrony Informacji Niejawnych oraz kierownika Kancelarii Dokumentów Niejawnych (KDN), które były zatrudnione w innych komórkach organizacyjnych. Rozwiązanie to skutkowało utrudnieniami w przepływie dokumentów niejawnych pomiędzy KDN, a WS BOIN – komórką odpowiedzialną za ich przetwarzanie. Wobec braku jednoosobowej reprezentacji WS BOIN, trudności nastręczała również dekretacja dokumentów na tę komórkę organizacyjną.</w:t>
      </w:r>
    </w:p>
    <w:p w14:paraId="731ACF49" w14:textId="77777777" w:rsidR="00837A40" w:rsidRDefault="00C515D0" w:rsidP="00C87347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Proponowana zmiana, polegająca na utworzeniu </w:t>
      </w:r>
      <w:r>
        <w:rPr>
          <w:rFonts w:eastAsia="Times New Roman" w:cs="Times New Roman"/>
          <w:b/>
          <w:color w:val="000000"/>
          <w:szCs w:val="20"/>
          <w:u w:color="000000"/>
        </w:rPr>
        <w:t>Zespołu Zarządzania Kryzysowego i Ochrony Informacji Niejawnych</w:t>
      </w:r>
      <w:r>
        <w:rPr>
          <w:rFonts w:eastAsia="Times New Roman" w:cs="Times New Roman"/>
          <w:color w:val="000000"/>
          <w:szCs w:val="20"/>
          <w:u w:color="000000"/>
        </w:rPr>
        <w:t>, ma na celu integrację w/wym. zadań w wyodrębnionej komórce organizacyjnej, reprezentowanej przez kierownika podlegającego bezpośrednio Kanclerzowi.</w:t>
      </w:r>
    </w:p>
    <w:sectPr w:rsidR="00837A40">
      <w:footerReference w:type="default" r:id="rId16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101AC" w14:textId="77777777" w:rsidR="009E20F7" w:rsidRDefault="009E20F7">
      <w:r>
        <w:separator/>
      </w:r>
    </w:p>
  </w:endnote>
  <w:endnote w:type="continuationSeparator" w:id="0">
    <w:p w14:paraId="4D2D1911" w14:textId="77777777" w:rsidR="009E20F7" w:rsidRDefault="009E20F7">
      <w:r>
        <w:continuationSeparator/>
      </w:r>
    </w:p>
  </w:endnote>
  <w:endnote w:type="continuationNotice" w:id="1">
    <w:p w14:paraId="43877B8C" w14:textId="77777777" w:rsidR="009E20F7" w:rsidRDefault="009E20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81AF3" w14:textId="77777777" w:rsidR="0004067B" w:rsidRDefault="000406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ACF4D" w14:textId="77777777" w:rsidR="00837A40" w:rsidRDefault="00837A4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FF6F5" w14:textId="77777777" w:rsidR="0004067B" w:rsidRDefault="0004067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ACF51" w14:textId="77777777" w:rsidR="00837A40" w:rsidRDefault="00837A4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AB046" w14:textId="77777777" w:rsidR="009E20F7" w:rsidRDefault="009E20F7">
      <w:r>
        <w:separator/>
      </w:r>
    </w:p>
  </w:footnote>
  <w:footnote w:type="continuationSeparator" w:id="0">
    <w:p w14:paraId="4CD5520E" w14:textId="77777777" w:rsidR="009E20F7" w:rsidRDefault="009E20F7">
      <w:r>
        <w:continuationSeparator/>
      </w:r>
    </w:p>
  </w:footnote>
  <w:footnote w:type="continuationNotice" w:id="1">
    <w:p w14:paraId="29F89A96" w14:textId="77777777" w:rsidR="009E20F7" w:rsidRDefault="009E20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7F393" w14:textId="77777777" w:rsidR="0004067B" w:rsidRDefault="00040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21AB" w14:textId="77777777" w:rsidR="0004067B" w:rsidRDefault="00040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2866B" w14:textId="77777777" w:rsidR="0004067B" w:rsidRDefault="000406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25EF4"/>
    <w:multiLevelType w:val="hybridMultilevel"/>
    <w:tmpl w:val="1E9E18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4059C"/>
    <w:multiLevelType w:val="hybridMultilevel"/>
    <w:tmpl w:val="7FAC6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662D2"/>
    <w:multiLevelType w:val="hybridMultilevel"/>
    <w:tmpl w:val="C8A609C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79F8739A"/>
    <w:multiLevelType w:val="hybridMultilevel"/>
    <w:tmpl w:val="59965FFE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 w16cid:durableId="46611253">
    <w:abstractNumId w:val="1"/>
  </w:num>
  <w:num w:numId="2" w16cid:durableId="890922362">
    <w:abstractNumId w:val="2"/>
  </w:num>
  <w:num w:numId="3" w16cid:durableId="1194146645">
    <w:abstractNumId w:val="3"/>
  </w:num>
  <w:num w:numId="4" w16cid:durableId="2019500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2863"/>
    <w:rsid w:val="0004067B"/>
    <w:rsid w:val="00254B6B"/>
    <w:rsid w:val="00370F59"/>
    <w:rsid w:val="006D17D4"/>
    <w:rsid w:val="00763DFC"/>
    <w:rsid w:val="00837A40"/>
    <w:rsid w:val="00860E3F"/>
    <w:rsid w:val="00952A73"/>
    <w:rsid w:val="009E20F7"/>
    <w:rsid w:val="00A46965"/>
    <w:rsid w:val="00A5193B"/>
    <w:rsid w:val="00A77B3E"/>
    <w:rsid w:val="00AE4ED2"/>
    <w:rsid w:val="00BA62A5"/>
    <w:rsid w:val="00C515D0"/>
    <w:rsid w:val="00C87347"/>
    <w:rsid w:val="00CA2A55"/>
    <w:rsid w:val="00E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ACF01"/>
  <w15:docId w15:val="{21BEC8D5-34E6-451A-B7DE-D49187F6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C87347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E4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4ED2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AE4E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4ED2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C87347"/>
    <w:rPr>
      <w:rFonts w:ascii="Public Sans" w:eastAsiaTheme="majorEastAsia" w:hAnsi="Public Sans" w:cstheme="majorBidi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05E149-A9BE-41BB-B937-ADCC6639B289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2B4E2716-E165-4E73-B42D-440C1EA03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3FBF41-3B9C-47C3-A695-1F90395914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1031</Words>
  <Characters>6189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.. ../2023 z dnia 21 lutego 2023 r.</vt:lpstr>
      <vt:lpstr/>
    </vt:vector>
  </TitlesOfParts>
  <Company>Prezydium Polskiej Akademii Nauk</Company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12/2023 Prezydium Polskiej Akademii Nauk</dc:title>
  <dc:subject>zmieniająca uchwałę w^sprawie regulaminu działalności Kanclerza Akademii i^Kancelarii Akademii</dc:subject>
  <dc:creator>ezieba</dc:creator>
  <cp:keywords/>
  <cp:lastModifiedBy>logonet Marcin Kowalski</cp:lastModifiedBy>
  <cp:revision>12</cp:revision>
  <dcterms:created xsi:type="dcterms:W3CDTF">2023-02-17T02:51:00Z</dcterms:created>
  <dcterms:modified xsi:type="dcterms:W3CDTF">2023-03-03T09:49:00Z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