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ACF08" w14:textId="77777777" w:rsidR="00A77B3E" w:rsidRDefault="00A77B3E"/>
    <w:p w14:paraId="731ACF09" w14:textId="4E04C8D7" w:rsidR="00A77B3E" w:rsidRDefault="00C515D0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860E3F">
        <w:rPr>
          <w:b/>
          <w:caps/>
        </w:rPr>
        <w:t>12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31ACF0A" w14:textId="77777777" w:rsidR="00A77B3E" w:rsidRDefault="00C515D0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731ACF0B" w14:textId="77777777" w:rsidR="00A77B3E" w:rsidRDefault="00C515D0">
      <w:pPr>
        <w:keepNext/>
        <w:spacing w:after="480"/>
        <w:jc w:val="center"/>
      </w:pPr>
      <w:r>
        <w:rPr>
          <w:b/>
        </w:rPr>
        <w:t>zmieniająca uchwałę w sprawie regulaminu działalności Kanclerza Akademii i Kancelarii Akademii</w:t>
      </w:r>
    </w:p>
    <w:p w14:paraId="731ACF0C" w14:textId="575DBA48" w:rsidR="00A77B3E" w:rsidRDefault="00C515D0">
      <w:pPr>
        <w:keepLines/>
        <w:spacing w:before="120" w:after="120"/>
        <w:ind w:firstLine="227"/>
      </w:pPr>
      <w:r>
        <w:t>Na podstawie art. 26 ust. 3 ustawy z dnia 30 kwietnia 2010 r. o Polskiej Akademii Nauk (Dz. U. z 2020 r.</w:t>
      </w:r>
      <w:r w:rsidR="00763DFC">
        <w:t xml:space="preserve"> </w:t>
      </w:r>
      <w:r>
        <w:t>poz. 1796) uchwala się, co następuje:</w:t>
      </w:r>
    </w:p>
    <w:p w14:paraId="731ACF0D" w14:textId="77777777" w:rsidR="00837A40" w:rsidRDefault="00C515D0">
      <w:pPr>
        <w:keepNext/>
        <w:spacing w:before="280"/>
        <w:jc w:val="center"/>
      </w:pPr>
      <w:r>
        <w:rPr>
          <w:b/>
        </w:rPr>
        <w:t>§ 1. </w:t>
      </w:r>
    </w:p>
    <w:p w14:paraId="731ACF0E" w14:textId="77777777" w:rsidR="00A77B3E" w:rsidRDefault="00C515D0">
      <w:pPr>
        <w:keepLines/>
        <w:spacing w:before="120" w:after="120"/>
        <w:ind w:firstLine="340"/>
      </w:pPr>
      <w:r>
        <w:t>W Regulaminie działalności Kanclerza Akademii i Kancelarii Akademii, stanowiącym załącznik do uchwały Nr 54/2015 Prezydium Polskiej Akademii Nauk z dnia 22 września</w:t>
      </w:r>
      <w:r>
        <w:br/>
        <w:t>2015 r. w sprawie regulaminu działalności Kanclerza Akademii i Kancelarii Akademii, zmienionej uchwałą Nr 1/2016 Prezydium Polskiej Akademii Nauk z dnia 19 stycznia 2016 r., uchwałą Nr 53/2016 Prezydium Polskiej Akademii Nauk z dnia 20 września 2016 r., uchwałą Nr 2/2017 Prezydium Polskiej Akademii Nauk z dnia 24 stycznia 2017 r., uchwałą Nr 58/2019 Prezydium Polskiej Akademii Nauk z dnia 17 września 2019 r. oraz uchwałą Nr 39/2020 Prezydium Polskiej Akademii Nauk z dnia 22 września 2020 r. oraz uchwałą nr 9/2022 Prezydium Polskiej Akademii Nauk z dnia 15 marca 2022 r., zwanym dalej „Regulaminem”, wprowadza się następujące zmiany:</w:t>
      </w:r>
    </w:p>
    <w:p w14:paraId="731ACF0F" w14:textId="77777777" w:rsidR="00A77B3E" w:rsidRDefault="00C515D0">
      <w:pPr>
        <w:spacing w:before="120" w:after="120"/>
        <w:ind w:left="340" w:hanging="227"/>
      </w:pPr>
      <w:r>
        <w:t>1) w § 8:</w:t>
      </w:r>
    </w:p>
    <w:p w14:paraId="731ACF10" w14:textId="77777777" w:rsidR="00A77B3E" w:rsidRDefault="00C515D0">
      <w:pPr>
        <w:keepLines/>
        <w:spacing w:before="120" w:after="120"/>
        <w:ind w:left="567" w:hanging="227"/>
      </w:pPr>
      <w:r>
        <w:t>a) uchyla się pkt 9-12;</w:t>
      </w:r>
    </w:p>
    <w:p w14:paraId="731ACF11" w14:textId="77777777" w:rsidR="00A77B3E" w:rsidRDefault="00C515D0">
      <w:pPr>
        <w:keepLines/>
        <w:spacing w:before="120" w:after="120"/>
        <w:ind w:left="567" w:hanging="227"/>
      </w:pPr>
      <w:r>
        <w:t>b) po pkt 14 dodaje się pkt 15 i pkt 16 w brzmieniu:</w:t>
      </w:r>
    </w:p>
    <w:p w14:paraId="731ACF12" w14:textId="77777777" w:rsidR="00A77B3E" w:rsidRDefault="00C515D0">
      <w:pPr>
        <w:spacing w:before="120" w:after="120"/>
        <w:ind w:left="1020" w:hanging="340"/>
      </w:pPr>
      <w:r>
        <w:t>„15) Zespół Audytu i Kontroli Wewnętrznej;</w:t>
      </w:r>
    </w:p>
    <w:p w14:paraId="731ACF13" w14:textId="77777777" w:rsidR="00A77B3E" w:rsidRDefault="00C515D0">
      <w:pPr>
        <w:spacing w:before="120" w:after="120"/>
        <w:ind w:left="1020" w:hanging="227"/>
      </w:pPr>
      <w:r>
        <w:t>16) Zespół Zarządzania Kryzysowego i Ochrony Informacji Niejawnych.”;;</w:t>
      </w:r>
    </w:p>
    <w:p w14:paraId="731ACF14" w14:textId="77777777" w:rsidR="00A77B3E" w:rsidRDefault="00C515D0">
      <w:pPr>
        <w:spacing w:before="120" w:after="120"/>
        <w:ind w:left="340" w:hanging="227"/>
      </w:pPr>
      <w:r>
        <w:t>2) uchyla się § 17 - 18 i § 19 - 20;</w:t>
      </w:r>
    </w:p>
    <w:p w14:paraId="731ACF15" w14:textId="77777777" w:rsidR="00A77B3E" w:rsidRDefault="00C515D0">
      <w:pPr>
        <w:spacing w:before="120" w:after="120"/>
        <w:ind w:left="340" w:hanging="227"/>
      </w:pPr>
      <w:r>
        <w:t>3) po § 21 dodaje się § 21a i § 21b w brzmieniu:</w:t>
      </w:r>
    </w:p>
    <w:p w14:paraId="731ACF16" w14:textId="2391CB81" w:rsidR="00A77B3E" w:rsidRDefault="00C515D0">
      <w:pPr>
        <w:spacing w:before="120" w:after="120"/>
        <w:ind w:firstLine="227"/>
        <w:jc w:val="center"/>
      </w:pPr>
      <w:r>
        <w:t>"</w:t>
      </w:r>
      <w:r w:rsidRPr="00A46965">
        <w:rPr>
          <w:b/>
          <w:bCs/>
        </w:rPr>
        <w:t>§ 21a</w:t>
      </w:r>
    </w:p>
    <w:p w14:paraId="731ACF17" w14:textId="77777777" w:rsidR="00A77B3E" w:rsidRDefault="00C515D0">
      <w:pPr>
        <w:spacing w:before="120" w:after="120"/>
        <w:ind w:firstLine="227"/>
        <w:jc w:val="center"/>
      </w:pPr>
      <w:r>
        <w:t>Do zakresu działania Zespołu Audytu i Kontroli Wewnętrznej należy w szczególności:</w:t>
      </w:r>
    </w:p>
    <w:p w14:paraId="731ACF18" w14:textId="77777777" w:rsidR="00A77B3E" w:rsidRDefault="00C515D0">
      <w:pPr>
        <w:spacing w:before="120" w:after="120"/>
        <w:ind w:left="340" w:hanging="227"/>
      </w:pPr>
      <w:r>
        <w:t>1) </w:t>
      </w:r>
      <w:r>
        <w:tab/>
        <w:t>sporządzenie analizy ryzyka i przygotowanie, w porozumieniu z Prezesem Akademii rocznego planu audytu oraz przekazanie rocznego planu audytu do komórki audytu wewnętrznego w Ministerstwie Finansów;</w:t>
      </w:r>
    </w:p>
    <w:p w14:paraId="731ACF19" w14:textId="77777777" w:rsidR="00A77B3E" w:rsidRDefault="00C515D0">
      <w:pPr>
        <w:spacing w:before="120" w:after="120"/>
        <w:ind w:left="340" w:hanging="227"/>
      </w:pPr>
      <w:r>
        <w:t>2) sporządzenie, przedstawienie Prezesowi Akademii i przekazanie do komórki audytu wewnętrznego w Ministerstwie Finansów sprawozdania z realizacji zadań, ujętych w planie audytu za rok poprzedni, sporządzenie w każdym czasie, na ich wniosek, szczegółowych informacji na temat przeprowadzanych audytów;</w:t>
      </w:r>
    </w:p>
    <w:p w14:paraId="731ACF1A" w14:textId="77777777" w:rsidR="00A77B3E" w:rsidRDefault="00C515D0">
      <w:pPr>
        <w:spacing w:before="120" w:after="120"/>
        <w:ind w:left="340" w:hanging="227"/>
      </w:pPr>
      <w:r>
        <w:t>3) prowadzenie w Kancelarii Akademii oraz w jednostkach organizacyjnych Akademii, z wyłączeniem jednostek naukowych Akademii, audytu wewnętrznego, obejmującego:</w:t>
      </w:r>
    </w:p>
    <w:p w14:paraId="731ACF1B" w14:textId="77777777" w:rsidR="00A77B3E" w:rsidRDefault="00C515D0">
      <w:pPr>
        <w:keepLines/>
        <w:spacing w:before="120" w:after="120"/>
        <w:ind w:left="567" w:hanging="227"/>
      </w:pPr>
      <w:r>
        <w:t>a) </w:t>
      </w:r>
      <w:r>
        <w:tab/>
        <w:t>niezależne i obiektywne badanie, mające na celu ocenę systemu kontroli zarządczej,</w:t>
      </w:r>
    </w:p>
    <w:p w14:paraId="731ACF1C" w14:textId="77777777" w:rsidR="00A77B3E" w:rsidRDefault="00C515D0">
      <w:pPr>
        <w:keepLines/>
        <w:spacing w:before="120" w:after="120"/>
        <w:ind w:left="567" w:hanging="227"/>
      </w:pPr>
      <w:r>
        <w:t>b) </w:t>
      </w:r>
      <w:r>
        <w:tab/>
        <w:t>czynności doradcze, w tym składanie wniosków, mających na celu usprawnienie funkcjonowania jednostki,</w:t>
      </w:r>
    </w:p>
    <w:p w14:paraId="731ACF1D" w14:textId="77777777" w:rsidR="00A77B3E" w:rsidRDefault="00C515D0">
      <w:pPr>
        <w:keepLines/>
        <w:spacing w:before="120" w:after="120"/>
        <w:ind w:left="567" w:hanging="227"/>
      </w:pPr>
      <w:r>
        <w:t>c) </w:t>
      </w:r>
      <w:r>
        <w:tab/>
        <w:t>czynności sprawdzające, mające na celu ocenę terminowości oraz poprawności wdrożenia zaleceń wynikających z przeprowadzonych dotychczas audytów;</w:t>
      </w:r>
    </w:p>
    <w:p w14:paraId="731ACF1E" w14:textId="77777777" w:rsidR="00A77B3E" w:rsidRDefault="00C515D0">
      <w:pPr>
        <w:spacing w:before="120" w:after="120"/>
        <w:ind w:left="340" w:hanging="227"/>
      </w:pPr>
      <w:r>
        <w:lastRenderedPageBreak/>
        <w:t>4) przeprowadzanie w uzasadnionych przypadkach, na zlecenia Prezesa Akademii, audytu poza rocznym planem audytu;</w:t>
      </w:r>
    </w:p>
    <w:p w14:paraId="731ACF1F" w14:textId="77777777" w:rsidR="00A77B3E" w:rsidRDefault="00C515D0">
      <w:pPr>
        <w:spacing w:before="120" w:after="120"/>
        <w:ind w:left="340" w:hanging="227"/>
      </w:pPr>
      <w:r>
        <w:t>5) wdrażanie rządowych programów antykorupcyjnych do działalności Akademii, jej jednostek naukowych i innych jednostek organizacyjnych;</w:t>
      </w:r>
    </w:p>
    <w:p w14:paraId="731ACF20" w14:textId="77777777" w:rsidR="00A77B3E" w:rsidRDefault="00C515D0">
      <w:pPr>
        <w:spacing w:before="120" w:after="120"/>
        <w:ind w:left="340" w:hanging="227"/>
      </w:pPr>
      <w:r>
        <w:t>6) wdrażanie efektywnych mechanizmów walki z korupcją w działalności Akademii, jej jednostek naukowych i innych jednostek organizacyjnych;</w:t>
      </w:r>
    </w:p>
    <w:p w14:paraId="731ACF21" w14:textId="77777777" w:rsidR="00A77B3E" w:rsidRDefault="00C515D0">
      <w:pPr>
        <w:spacing w:before="120" w:after="120"/>
        <w:ind w:left="340" w:hanging="227"/>
      </w:pPr>
      <w:r>
        <w:t>7) zapobieganie zjawiskom korupcji i wdrożenie mechanizmów, umożliwiających jej skuteczne przeciwdziałanie;</w:t>
      </w:r>
    </w:p>
    <w:p w14:paraId="731ACF22" w14:textId="77777777" w:rsidR="00A77B3E" w:rsidRDefault="00C515D0">
      <w:pPr>
        <w:spacing w:before="120" w:after="120"/>
        <w:ind w:left="340" w:hanging="227"/>
      </w:pPr>
      <w:r>
        <w:t>8) zwiększenie świadomości publicznej i promocja etycznych wzorców postępowania;</w:t>
      </w:r>
    </w:p>
    <w:p w14:paraId="731ACF23" w14:textId="77777777" w:rsidR="00A77B3E" w:rsidRDefault="00C515D0">
      <w:pPr>
        <w:spacing w:before="120" w:after="120"/>
        <w:ind w:left="340" w:hanging="227"/>
      </w:pPr>
      <w:r>
        <w:t>9) reagowanie na sygnały o zjawiskach korupcyjnych w działalności Akademii, jej jednostek naukowych i innych jednostek organizacyjnych.</w:t>
      </w:r>
    </w:p>
    <w:p w14:paraId="731ACF24" w14:textId="77777777" w:rsidR="00A77B3E" w:rsidRDefault="00C515D0">
      <w:pPr>
        <w:spacing w:before="120" w:after="120"/>
        <w:ind w:left="340" w:hanging="227"/>
      </w:pPr>
      <w:r>
        <w:t>10) koordynowanie i obsługa kontroli finansowej jednostek organizacyjnych Akademii dotyczących wykorzystania środków publicznych oraz gospodarowania mieniem;</w:t>
      </w:r>
    </w:p>
    <w:p w14:paraId="731ACF25" w14:textId="77777777" w:rsidR="00A77B3E" w:rsidRDefault="00C515D0">
      <w:pPr>
        <w:spacing w:before="120" w:after="120"/>
        <w:ind w:left="340" w:hanging="227"/>
      </w:pPr>
      <w:r>
        <w:t>11) wykonywanie kontroli jednostek organizacyjnych Akademii zleconych przez Prezesa Akademii i Kanclerza Akademii;</w:t>
      </w:r>
    </w:p>
    <w:p w14:paraId="731ACF26" w14:textId="77777777" w:rsidR="00A77B3E" w:rsidRDefault="00C515D0">
      <w:pPr>
        <w:spacing w:before="120" w:after="120"/>
        <w:ind w:left="340" w:hanging="227"/>
      </w:pPr>
      <w:r>
        <w:t>12) opracowywanie sprawozdań z przeprowadzonych kontroli;</w:t>
      </w:r>
    </w:p>
    <w:p w14:paraId="731ACF27" w14:textId="77777777" w:rsidR="00A77B3E" w:rsidRDefault="00C515D0">
      <w:pPr>
        <w:spacing w:before="120" w:after="120"/>
        <w:ind w:left="340" w:hanging="227"/>
      </w:pPr>
      <w:r>
        <w:t>13) monitorowanie wykonania przez jednostki organizacyjne Akademii wniosków i zaleceń pokontrolnych;</w:t>
      </w:r>
    </w:p>
    <w:p w14:paraId="731ACF28" w14:textId="77777777" w:rsidR="00A77B3E" w:rsidRDefault="00C515D0">
      <w:pPr>
        <w:spacing w:before="120" w:after="120"/>
        <w:ind w:left="340" w:hanging="227"/>
      </w:pPr>
      <w:r>
        <w:t>14) współdziałanie z organami kontroli zewnętrznej.</w:t>
      </w:r>
    </w:p>
    <w:p w14:paraId="731ACF29" w14:textId="77777777" w:rsidR="00A77B3E" w:rsidRDefault="00C515D0">
      <w:pPr>
        <w:spacing w:before="120" w:after="120"/>
        <w:ind w:left="340" w:hanging="227"/>
      </w:pPr>
      <w:r>
        <w:t>15) gromadzenie, przechowywanie oraz przekazywanie do archiwum akt stałych i akt bieżących audytu.</w:t>
      </w:r>
    </w:p>
    <w:p w14:paraId="731ACF2A" w14:textId="77777777" w:rsidR="00837A40" w:rsidRDefault="00C515D0">
      <w:pPr>
        <w:keepNext/>
        <w:spacing w:before="280"/>
        <w:jc w:val="center"/>
      </w:pPr>
      <w:r>
        <w:rPr>
          <w:b/>
        </w:rPr>
        <w:t>§ 21b. </w:t>
      </w:r>
    </w:p>
    <w:p w14:paraId="731ACF2B" w14:textId="77777777" w:rsidR="00A77B3E" w:rsidRDefault="00C515D0">
      <w:pPr>
        <w:keepLines/>
        <w:spacing w:before="120" w:after="120"/>
        <w:ind w:firstLine="340"/>
      </w:pPr>
      <w:r>
        <w:t>Do zakresu działania Zespołu Zarządzania Kryzysowego i Ochrony Informacji Niejawnych należy w szczególności:</w:t>
      </w:r>
    </w:p>
    <w:p w14:paraId="731ACF2C" w14:textId="77777777" w:rsidR="00A77B3E" w:rsidRDefault="00C515D0">
      <w:pPr>
        <w:spacing w:before="120" w:after="120"/>
        <w:ind w:left="340" w:hanging="227"/>
      </w:pPr>
      <w:r>
        <w:t>1) </w:t>
      </w:r>
      <w:r>
        <w:tab/>
        <w:t>opracowywanie i realizacja Planu Operacyjnego funkcjonowania Kancelarii Akademii; przygotowanie i wdrażanie dokumentów związanych z działaniem obrony cywilnej w Kancelarii Akademii oraz w innych jednostkach organizacyjnych Akademii;</w:t>
      </w:r>
    </w:p>
    <w:p w14:paraId="731ACF2D" w14:textId="77777777" w:rsidR="00A77B3E" w:rsidRDefault="00C515D0">
      <w:pPr>
        <w:spacing w:before="120" w:after="120"/>
        <w:ind w:left="340" w:hanging="227"/>
      </w:pPr>
      <w:r>
        <w:t>2) koordynowanie spraw związanych z ochroną zabytków w okresie zagrożeń, kryzysu, wojny będących w ewidencji jednostek organizacyjnych Akademii;</w:t>
      </w:r>
    </w:p>
    <w:p w14:paraId="731ACF2E" w14:textId="77777777" w:rsidR="00A77B3E" w:rsidRDefault="00C515D0">
      <w:pPr>
        <w:spacing w:before="120" w:after="120"/>
        <w:ind w:left="340" w:hanging="227"/>
      </w:pPr>
      <w:r>
        <w:t>3) opracowywanie dokumentacji i utrzymywanie w ciągłej gotowości systemu stałego dyżuru w Akademii jako elementu gotowości obronnej państwa;</w:t>
      </w:r>
    </w:p>
    <w:p w14:paraId="731ACF2F" w14:textId="77777777" w:rsidR="00A77B3E" w:rsidRDefault="00C515D0">
      <w:pPr>
        <w:spacing w:before="120" w:after="120"/>
        <w:ind w:left="340" w:hanging="227"/>
      </w:pPr>
      <w:r>
        <w:t>4) organizacja i prowadzenie szkoleń w zakresie zadań Zespołu;</w:t>
      </w:r>
    </w:p>
    <w:p w14:paraId="731ACF30" w14:textId="77777777" w:rsidR="00A77B3E" w:rsidRDefault="00C515D0">
      <w:pPr>
        <w:spacing w:before="120" w:after="120"/>
        <w:ind w:left="340" w:hanging="227"/>
      </w:pPr>
      <w:r>
        <w:t>5) realizacja zadań wynikających z przepisów ustawy o ochronie informacji niejawnych;</w:t>
      </w:r>
    </w:p>
    <w:p w14:paraId="731ACF31" w14:textId="77777777" w:rsidR="00A77B3E" w:rsidRDefault="00C515D0">
      <w:pPr>
        <w:spacing w:before="120" w:after="120"/>
        <w:ind w:left="340" w:hanging="227"/>
      </w:pPr>
      <w:r>
        <w:t>6) przeprowadzanie kontroli ochrony informacji niejawnych oraz przestrzegania przepisów w tym zakresie;</w:t>
      </w:r>
    </w:p>
    <w:p w14:paraId="731ACF32" w14:textId="77777777" w:rsidR="00A77B3E" w:rsidRDefault="00C515D0">
      <w:pPr>
        <w:spacing w:before="120" w:after="120"/>
        <w:ind w:left="340" w:hanging="227"/>
      </w:pPr>
      <w:r>
        <w:t>7) szkolenie pracowników w zakresie ochrony informacji niejawnych;</w:t>
      </w:r>
    </w:p>
    <w:p w14:paraId="731ACF33" w14:textId="77777777" w:rsidR="00A77B3E" w:rsidRDefault="00C515D0">
      <w:pPr>
        <w:spacing w:before="120" w:after="120"/>
        <w:ind w:left="340" w:hanging="227"/>
      </w:pPr>
      <w:r>
        <w:t>8) okresowa kontrola ewidencji i obiegu dokumentów niejawnych;</w:t>
      </w:r>
    </w:p>
    <w:p w14:paraId="731ACF34" w14:textId="77777777" w:rsidR="00A77B3E" w:rsidRDefault="00C515D0">
      <w:pPr>
        <w:spacing w:before="120" w:after="120"/>
        <w:ind w:left="340" w:hanging="227"/>
      </w:pPr>
      <w:r>
        <w:t>9) przeprowadzanie zwykłych postępowań sprawdzających, na polecenie Prezesa Akademii;</w:t>
      </w:r>
    </w:p>
    <w:p w14:paraId="731ACF35" w14:textId="77777777" w:rsidR="00A77B3E" w:rsidRDefault="00C515D0">
      <w:pPr>
        <w:spacing w:before="120" w:after="120"/>
        <w:ind w:left="340" w:hanging="227"/>
      </w:pPr>
      <w:r>
        <w:t>10) opracowywanie stosownych dokumentów związanych z planem ochrony informacji niejawnych oraz nadzorowanie jej realizacji;</w:t>
      </w:r>
    </w:p>
    <w:p w14:paraId="731ACF36" w14:textId="77777777" w:rsidR="00A77B3E" w:rsidRDefault="00C515D0">
      <w:pPr>
        <w:spacing w:before="120" w:after="120"/>
        <w:ind w:left="340" w:hanging="227"/>
      </w:pPr>
      <w:r>
        <w:t>11) opracowywanie dokumentacji bezpieczeństwa teleinformatycznego oraz nadzorowanie jej realizacji;</w:t>
      </w:r>
    </w:p>
    <w:p w14:paraId="731ACF37" w14:textId="77777777" w:rsidR="00A77B3E" w:rsidRDefault="00C515D0">
      <w:pPr>
        <w:spacing w:before="120" w:after="120"/>
        <w:ind w:left="340" w:hanging="227"/>
      </w:pPr>
      <w:r>
        <w:lastRenderedPageBreak/>
        <w:t>12) podejmowanie działań zmierzających do wyjaśnienia okoliczności naruszeń przepisów ustawy o ochronie informacji niejawnych;</w:t>
      </w:r>
    </w:p>
    <w:p w14:paraId="731ACF38" w14:textId="77777777" w:rsidR="00A77B3E" w:rsidRDefault="00C515D0">
      <w:pPr>
        <w:spacing w:before="120" w:after="120"/>
        <w:ind w:left="340" w:hanging="227"/>
      </w:pPr>
      <w:r>
        <w:t>13) prowadzenie Kancelarii Dokumentów Niejawnych;</w:t>
      </w:r>
    </w:p>
    <w:p w14:paraId="731ACF39" w14:textId="77777777" w:rsidR="00A77B3E" w:rsidRDefault="00C515D0">
      <w:pPr>
        <w:spacing w:before="120" w:after="120"/>
        <w:ind w:left="340" w:hanging="227"/>
      </w:pPr>
      <w:r>
        <w:t>14) współpraca z ABW w zakresie ochrony informacji niejawnych.”</w:t>
      </w:r>
    </w:p>
    <w:p w14:paraId="731ACF3A" w14:textId="77777777" w:rsidR="00837A40" w:rsidRDefault="00C515D0">
      <w:pPr>
        <w:keepNext/>
        <w:spacing w:before="280"/>
        <w:jc w:val="center"/>
      </w:pPr>
      <w:r>
        <w:rPr>
          <w:b/>
        </w:rPr>
        <w:t>§ 2. </w:t>
      </w:r>
    </w:p>
    <w:p w14:paraId="731ACF3B" w14:textId="2C5F4A71" w:rsidR="00A77B3E" w:rsidRDefault="00C515D0">
      <w:pPr>
        <w:keepLines/>
        <w:spacing w:before="120" w:after="120"/>
        <w:ind w:firstLine="340"/>
      </w:pPr>
      <w:r>
        <w:t>Schemat struktury organizacyjnej Kancelarii Polskiej Akademii Nauk otrzymuje brzmienie określone w załączniku do niniejszej uchwały.</w:t>
      </w:r>
    </w:p>
    <w:p w14:paraId="731ACF3C" w14:textId="77777777" w:rsidR="00837A40" w:rsidRDefault="00C515D0">
      <w:pPr>
        <w:keepNext/>
        <w:spacing w:before="280"/>
        <w:jc w:val="center"/>
      </w:pPr>
      <w:r>
        <w:rPr>
          <w:b/>
        </w:rPr>
        <w:t>§ 3. </w:t>
      </w:r>
    </w:p>
    <w:p w14:paraId="731ACF3D" w14:textId="77777777" w:rsidR="00A77B3E" w:rsidRDefault="00C515D0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731ACF3F" w14:textId="5EB78BF1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37A40" w14:paraId="731ACF4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1ACF40" w14:textId="77777777" w:rsidR="00837A40" w:rsidRDefault="00837A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1ACF41" w14:textId="15FE49B1" w:rsidR="00837A40" w:rsidRDefault="00C515D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763DFC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763DFC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31ACF43" w14:textId="77777777" w:rsidR="00A77B3E" w:rsidRDefault="00A77B3E">
      <w:pPr>
        <w:keepNext/>
        <w:sectPr w:rsidR="00A77B3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31ACF45" w14:textId="77777777" w:rsidR="00837A40" w:rsidRDefault="00C515D0" w:rsidP="00254B6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lastRenderedPageBreak/>
        <w:t>Uzasadnienie</w:t>
      </w:r>
    </w:p>
    <w:p w14:paraId="731ACF46" w14:textId="2899C350" w:rsidR="00837A40" w:rsidRDefault="00C515D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dotychczasowej strukturze organizacyjnej Kancelarii, realizacja zadań o charakterze kontrolnym i prewencyjnym, tj. z zakresu audytu wewnętrznego, kontroli wewnętrznej i kontroli/prewencji antykorupcyjnej była rozdzielona pomiędzy dwa stanowiska samodzielne, oraz stanowisko wieloosobowe. Skutkowało to utrudnieniami w przepływie informacji oraz brakiem koordynacji podejmowanych działań, m.in. sporządzane były odrębne plany zadaniowe, przy braku konsultacji pomiędzy odpowiedzialnymi komórkami organizacyjnymi.</w:t>
      </w:r>
    </w:p>
    <w:p w14:paraId="731ACF47" w14:textId="77777777" w:rsidR="00837A40" w:rsidRDefault="00C515D0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Proponowana zmiana w postaci likwidacji samodzielnych i wieloosobowych komórek organizacyjnych oraz powołanie w ich miejsce </w:t>
      </w:r>
      <w:r>
        <w:rPr>
          <w:rFonts w:eastAsia="Times New Roman" w:cs="Times New Roman"/>
          <w:b/>
          <w:color w:val="000000"/>
          <w:szCs w:val="20"/>
          <w:u w:color="000000"/>
        </w:rPr>
        <w:t>Zespołu Audytu i Kontroli Wewnętrznej</w:t>
      </w:r>
      <w:r>
        <w:rPr>
          <w:rFonts w:eastAsia="Times New Roman" w:cs="Times New Roman"/>
          <w:color w:val="000000"/>
          <w:szCs w:val="20"/>
          <w:u w:color="000000"/>
        </w:rPr>
        <w:t xml:space="preserve"> ma na celu centralizację wszystkich zadań o charakterze kontrolnym i prewencyjnym, co ma skutkować lepszą koordynacją, a co za tym idzie, skutecznością podejmowanych działań. </w:t>
      </w:r>
    </w:p>
    <w:p w14:paraId="731ACF48" w14:textId="77777777" w:rsidR="00837A40" w:rsidRDefault="00C515D0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kolei, zadania z zakresu Bezpieczeństwa i Ochrony Informacji Niejawnych (BOIN), realizowane były przez Wieloosobowe Stanowisko ds. BOIN (WS BOIN), wspomagane przez osoby Pełnomocnika ds. Ochrony Informacji Niejawnych oraz kierownika Kancelarii Dokumentów Niejawnych (KDN), które były zatrudnione w innych komórkach organizacyjnych. Rozwiązanie to skutkowało utrudnieniami w przepływie dokumentów niejawnych pomiędzy KDN, a WS BOIN – komórką odpowiedzialną za ich przetwarzanie. Wobec braku jednoosobowej reprezentacji WS BOIN, trudności nastręczała również dekretacja dokumentów na tę komórkę organizacyjną.</w:t>
      </w:r>
    </w:p>
    <w:p w14:paraId="731ACF49" w14:textId="77777777" w:rsidR="00837A40" w:rsidRDefault="00C515D0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Proponowana zmiana, polegająca na utworzeniu </w:t>
      </w:r>
      <w:r>
        <w:rPr>
          <w:rFonts w:eastAsia="Times New Roman" w:cs="Times New Roman"/>
          <w:b/>
          <w:color w:val="000000"/>
          <w:szCs w:val="20"/>
          <w:u w:color="000000"/>
        </w:rPr>
        <w:t>Zespołu Zarządzania Kryzysowego i Ochrony Informacji Niejawnych</w:t>
      </w:r>
      <w:r>
        <w:rPr>
          <w:rFonts w:eastAsia="Times New Roman" w:cs="Times New Roman"/>
          <w:color w:val="000000"/>
          <w:szCs w:val="20"/>
          <w:u w:color="000000"/>
        </w:rPr>
        <w:t>, ma na celu integrację w/wym. zadań w wyodrębnionej komórce organizacyjnej, reprezentowanej przez kierownika podlegającego bezpośrednio Kanclerzowi.</w:t>
      </w:r>
    </w:p>
    <w:sectPr w:rsidR="00837A40">
      <w:footerReference w:type="default" r:id="rId15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067A4" w14:textId="77777777" w:rsidR="00A5193B" w:rsidRDefault="00A5193B">
      <w:r>
        <w:separator/>
      </w:r>
    </w:p>
  </w:endnote>
  <w:endnote w:type="continuationSeparator" w:id="0">
    <w:p w14:paraId="065101EC" w14:textId="77777777" w:rsidR="00A5193B" w:rsidRDefault="00A5193B">
      <w:r>
        <w:continuationSeparator/>
      </w:r>
    </w:p>
  </w:endnote>
  <w:endnote w:type="continuationNotice" w:id="1">
    <w:p w14:paraId="2136D5FB" w14:textId="77777777" w:rsidR="00A5193B" w:rsidRDefault="00A519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1AF3" w14:textId="77777777" w:rsidR="0004067B" w:rsidRDefault="000406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F4D" w14:textId="77777777" w:rsidR="00837A40" w:rsidRDefault="00837A4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FF6F5" w14:textId="77777777" w:rsidR="0004067B" w:rsidRDefault="0004067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F51" w14:textId="77777777" w:rsidR="00837A40" w:rsidRDefault="00837A4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CF1F9" w14:textId="77777777" w:rsidR="00A5193B" w:rsidRDefault="00A5193B">
      <w:r>
        <w:separator/>
      </w:r>
    </w:p>
  </w:footnote>
  <w:footnote w:type="continuationSeparator" w:id="0">
    <w:p w14:paraId="1851C4EB" w14:textId="77777777" w:rsidR="00A5193B" w:rsidRDefault="00A5193B">
      <w:r>
        <w:continuationSeparator/>
      </w:r>
    </w:p>
  </w:footnote>
  <w:footnote w:type="continuationNotice" w:id="1">
    <w:p w14:paraId="4E4E8D6E" w14:textId="77777777" w:rsidR="00A5193B" w:rsidRDefault="00A519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7F393" w14:textId="77777777" w:rsidR="0004067B" w:rsidRDefault="00040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21AB" w14:textId="77777777" w:rsidR="0004067B" w:rsidRDefault="00040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866B" w14:textId="77777777" w:rsidR="0004067B" w:rsidRDefault="00040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2863"/>
    <w:rsid w:val="0004067B"/>
    <w:rsid w:val="00254B6B"/>
    <w:rsid w:val="006D17D4"/>
    <w:rsid w:val="00763DFC"/>
    <w:rsid w:val="00837A40"/>
    <w:rsid w:val="00860E3F"/>
    <w:rsid w:val="00952A73"/>
    <w:rsid w:val="00A46965"/>
    <w:rsid w:val="00A5193B"/>
    <w:rsid w:val="00A77B3E"/>
    <w:rsid w:val="00AE4ED2"/>
    <w:rsid w:val="00BA62A5"/>
    <w:rsid w:val="00C515D0"/>
    <w:rsid w:val="00CA2A55"/>
    <w:rsid w:val="00E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ACF01"/>
  <w15:docId w15:val="{21BEC8D5-34E6-451A-B7DE-D49187F6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E4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4ED2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E4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4ED2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3F3FBF41-3B9C-47C3-A695-1F90395914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4E2716-E165-4E73-B42D-440C1EA03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05E149-A9BE-41BB-B937-ADCC6639B289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 ../2023 z dnia 21 lutego 2023 r.</dc:title>
  <dc:subject>zmieniająca uchwałę w^sprawie regulaminu działalności Kanclerza Akademii i^Kancelarii Akademii</dc:subject>
  <dc:creator>ezieba</dc:creator>
  <cp:keywords/>
  <cp:lastModifiedBy>Zięba-Andrzejuk Elżbieta</cp:lastModifiedBy>
  <cp:revision>10</cp:revision>
  <dcterms:created xsi:type="dcterms:W3CDTF">2023-02-17T02:51:00Z</dcterms:created>
  <dcterms:modified xsi:type="dcterms:W3CDTF">2023-02-22T08:32:00Z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