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EC974" w14:textId="0AE51730" w:rsidR="00BF3797" w:rsidRDefault="00BF3797" w:rsidP="003559EA">
      <w:pPr>
        <w:spacing w:after="0" w:line="240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>
        <w:rPr>
          <w:rFonts w:ascii="Bookman Old Style" w:hAnsi="Bookman Old Style"/>
          <w:b/>
          <w:color w:val="auto"/>
          <w:sz w:val="22"/>
        </w:rPr>
        <w:t xml:space="preserve">Uchwała Nr </w:t>
      </w:r>
      <w:r w:rsidR="004A0C59">
        <w:rPr>
          <w:rFonts w:ascii="Bookman Old Style" w:hAnsi="Bookman Old Style"/>
          <w:b/>
          <w:color w:val="auto"/>
          <w:sz w:val="22"/>
        </w:rPr>
        <w:t>33</w:t>
      </w:r>
      <w:r>
        <w:rPr>
          <w:rFonts w:ascii="Bookman Old Style" w:hAnsi="Bookman Old Style"/>
          <w:b/>
          <w:color w:val="auto"/>
          <w:sz w:val="22"/>
        </w:rPr>
        <w:t>/2022</w:t>
      </w:r>
    </w:p>
    <w:p w14:paraId="02D3688C" w14:textId="77777777" w:rsidR="00BF3797" w:rsidRDefault="00BF3797" w:rsidP="003559EA">
      <w:pPr>
        <w:spacing w:after="0" w:line="240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>
        <w:rPr>
          <w:rFonts w:ascii="Bookman Old Style" w:hAnsi="Bookman Old Style"/>
          <w:b/>
          <w:color w:val="auto"/>
          <w:sz w:val="22"/>
        </w:rPr>
        <w:t>Prezydium Polskiej Akademii Nauk</w:t>
      </w:r>
    </w:p>
    <w:p w14:paraId="7F80DD1E" w14:textId="6F8DC22B" w:rsidR="00922E26" w:rsidRPr="001F1FA2" w:rsidRDefault="00BF3797" w:rsidP="003559EA">
      <w:pPr>
        <w:spacing w:after="0" w:line="240" w:lineRule="auto"/>
        <w:ind w:left="0"/>
        <w:jc w:val="center"/>
        <w:rPr>
          <w:rFonts w:ascii="Bookman Old Style" w:hAnsi="Bookman Old Style"/>
          <w:sz w:val="22"/>
        </w:rPr>
      </w:pPr>
      <w:r w:rsidRPr="001F1FA2">
        <w:rPr>
          <w:rFonts w:ascii="Bookman Old Style" w:hAnsi="Bookman Old Style"/>
          <w:color w:val="auto"/>
          <w:sz w:val="22"/>
        </w:rPr>
        <w:t>z dnia 20 września 2022 r.</w:t>
      </w:r>
    </w:p>
    <w:p w14:paraId="44E7E946" w14:textId="77777777" w:rsidR="0003210C" w:rsidRDefault="0003210C" w:rsidP="00EF3E63">
      <w:pPr>
        <w:spacing w:after="0" w:line="360" w:lineRule="auto"/>
        <w:ind w:left="0"/>
        <w:rPr>
          <w:rFonts w:ascii="Bookman Old Style" w:hAnsi="Bookman Old Style"/>
          <w:b/>
          <w:bCs/>
          <w:sz w:val="22"/>
        </w:rPr>
      </w:pPr>
    </w:p>
    <w:p w14:paraId="7178586D" w14:textId="36C0AB2F" w:rsidR="009D311F" w:rsidRDefault="00BF3797" w:rsidP="00542BA9">
      <w:pPr>
        <w:spacing w:after="0" w:line="276" w:lineRule="auto"/>
        <w:ind w:left="0"/>
        <w:rPr>
          <w:rFonts w:ascii="Bookman Old Style" w:hAnsi="Bookman Old Style"/>
          <w:b/>
          <w:bCs/>
          <w:sz w:val="22"/>
        </w:rPr>
      </w:pPr>
      <w:r w:rsidRPr="00F8547C">
        <w:rPr>
          <w:rFonts w:ascii="Bookman Old Style" w:hAnsi="Bookman Old Style"/>
          <w:b/>
          <w:bCs/>
          <w:sz w:val="22"/>
        </w:rPr>
        <w:t xml:space="preserve">w sprawie wyrażenia zgody na rozporządzenie składnikami aktywów trwałych przez Instytut Chemii Bioorganicznej Polskiej Akademii Nauk polegające na obciążeniu </w:t>
      </w:r>
      <w:r w:rsidR="00724135">
        <w:rPr>
          <w:rFonts w:ascii="Bookman Old Style" w:hAnsi="Bookman Old Style"/>
          <w:b/>
          <w:bCs/>
          <w:sz w:val="22"/>
        </w:rPr>
        <w:t>dw</w:t>
      </w:r>
      <w:r w:rsidR="00CE0C8E">
        <w:rPr>
          <w:rFonts w:ascii="Bookman Old Style" w:hAnsi="Bookman Old Style"/>
          <w:b/>
          <w:bCs/>
          <w:sz w:val="22"/>
        </w:rPr>
        <w:t>iema</w:t>
      </w:r>
      <w:r w:rsidR="00724135">
        <w:rPr>
          <w:rFonts w:ascii="Bookman Old Style" w:hAnsi="Bookman Old Style"/>
          <w:b/>
          <w:bCs/>
          <w:sz w:val="22"/>
        </w:rPr>
        <w:t xml:space="preserve"> </w:t>
      </w:r>
      <w:r w:rsidR="00F56B28" w:rsidRPr="00F8547C">
        <w:rPr>
          <w:rFonts w:ascii="Bookman Old Style" w:hAnsi="Bookman Old Style"/>
          <w:b/>
          <w:bCs/>
          <w:sz w:val="22"/>
        </w:rPr>
        <w:t>hipotekami</w:t>
      </w:r>
      <w:r w:rsidR="009D311F" w:rsidRPr="00F8547C">
        <w:rPr>
          <w:rFonts w:ascii="Bookman Old Style" w:hAnsi="Bookman Old Style"/>
          <w:b/>
          <w:bCs/>
          <w:sz w:val="22"/>
        </w:rPr>
        <w:t xml:space="preserve"> nieruchomości będącej w użytkowaniu wieczystym Instytutu, położonej</w:t>
      </w:r>
      <w:r w:rsidR="00F8547C" w:rsidRPr="00F8547C">
        <w:rPr>
          <w:rFonts w:ascii="Bookman Old Style" w:hAnsi="Bookman Old Style"/>
          <w:b/>
          <w:bCs/>
          <w:sz w:val="22"/>
        </w:rPr>
        <w:t xml:space="preserve"> w Poznaniu</w:t>
      </w:r>
      <w:r w:rsidR="009D311F" w:rsidRPr="00F8547C">
        <w:rPr>
          <w:rFonts w:ascii="Bookman Old Style" w:hAnsi="Bookman Old Style"/>
          <w:b/>
          <w:bCs/>
          <w:sz w:val="22"/>
        </w:rPr>
        <w:t xml:space="preserve"> przy ul. Zwierzynieckiej 20</w:t>
      </w:r>
      <w:r w:rsidR="00F8547C" w:rsidRPr="00F8547C">
        <w:rPr>
          <w:rFonts w:ascii="Bookman Old Style" w:hAnsi="Bookman Old Style"/>
          <w:b/>
          <w:bCs/>
          <w:sz w:val="22"/>
        </w:rPr>
        <w:t>.</w:t>
      </w:r>
    </w:p>
    <w:p w14:paraId="62B01DA8" w14:textId="77777777" w:rsidR="0003210C" w:rsidRDefault="0003210C" w:rsidP="00EF3E63">
      <w:pPr>
        <w:pStyle w:val="Teksttreci20"/>
        <w:shd w:val="clear" w:color="auto" w:fill="auto"/>
        <w:spacing w:before="0" w:after="0" w:line="360" w:lineRule="auto"/>
        <w:ind w:firstLine="0"/>
        <w:rPr>
          <w:rFonts w:cs="Times New Roman"/>
          <w:sz w:val="22"/>
          <w:szCs w:val="22"/>
        </w:rPr>
      </w:pPr>
    </w:p>
    <w:p w14:paraId="3955934B" w14:textId="0FECFF7E" w:rsidR="0003210C" w:rsidRDefault="009D311F" w:rsidP="003559EA">
      <w:pPr>
        <w:pStyle w:val="Teksttreci20"/>
        <w:shd w:val="clear" w:color="auto" w:fill="auto"/>
        <w:spacing w:before="0" w:after="0" w:line="276" w:lineRule="auto"/>
        <w:ind w:firstLine="0"/>
        <w:rPr>
          <w:rFonts w:cs="Times New Roman"/>
          <w:sz w:val="22"/>
          <w:szCs w:val="22"/>
        </w:rPr>
      </w:pPr>
      <w:r w:rsidRPr="0067439F">
        <w:rPr>
          <w:rFonts w:cs="Times New Roman"/>
          <w:sz w:val="22"/>
          <w:szCs w:val="22"/>
        </w:rPr>
        <w:t xml:space="preserve">Na podstawie art. 54 ust. 3 ustawy z dnia 30 kwietnia 2010 r. o Polskiej Akademii </w:t>
      </w:r>
      <w:r w:rsidRPr="002B00A1">
        <w:rPr>
          <w:rFonts w:cs="Times New Roman"/>
          <w:sz w:val="22"/>
          <w:szCs w:val="22"/>
        </w:rPr>
        <w:t>Nauk (t.j. Dz. U. z 2020 r. poz.1796)</w:t>
      </w:r>
      <w:r w:rsidRPr="0067439F">
        <w:rPr>
          <w:rFonts w:cs="Times New Roman"/>
          <w:sz w:val="22"/>
          <w:szCs w:val="22"/>
        </w:rPr>
        <w:t xml:space="preserve"> uchwala się, co następuje:</w:t>
      </w:r>
      <w:bookmarkStart w:id="0" w:name="bookmark1"/>
    </w:p>
    <w:p w14:paraId="4B482CD9" w14:textId="77777777" w:rsidR="001F1FA2" w:rsidRDefault="001F1FA2" w:rsidP="003559EA">
      <w:pPr>
        <w:pStyle w:val="Teksttreci20"/>
        <w:shd w:val="clear" w:color="auto" w:fill="auto"/>
        <w:spacing w:before="0" w:after="0" w:line="276" w:lineRule="auto"/>
        <w:ind w:firstLine="0"/>
        <w:jc w:val="center"/>
        <w:rPr>
          <w:rFonts w:cs="Times New Roman"/>
          <w:sz w:val="22"/>
          <w:szCs w:val="22"/>
        </w:rPr>
      </w:pPr>
    </w:p>
    <w:p w14:paraId="50748663" w14:textId="25C32AA8" w:rsidR="00D97DA5" w:rsidRDefault="00D97DA5" w:rsidP="003559EA">
      <w:pPr>
        <w:pStyle w:val="Teksttreci20"/>
        <w:shd w:val="clear" w:color="auto" w:fill="auto"/>
        <w:spacing w:before="0" w:after="0" w:line="276" w:lineRule="auto"/>
        <w:ind w:firstLine="0"/>
        <w:jc w:val="center"/>
        <w:rPr>
          <w:rStyle w:val="Nagwek1"/>
          <w:rFonts w:cs="Times New Roman"/>
          <w:b w:val="0"/>
        </w:rPr>
      </w:pPr>
      <w:r w:rsidRPr="0067439F">
        <w:rPr>
          <w:rFonts w:cs="Times New Roman"/>
          <w:sz w:val="22"/>
          <w:szCs w:val="22"/>
        </w:rPr>
        <w:t xml:space="preserve">§ </w:t>
      </w:r>
      <w:r w:rsidRPr="0067439F">
        <w:rPr>
          <w:rStyle w:val="Nagwek1"/>
          <w:rFonts w:cs="Times New Roman"/>
          <w:b w:val="0"/>
        </w:rPr>
        <w:t>1</w:t>
      </w:r>
      <w:bookmarkEnd w:id="0"/>
    </w:p>
    <w:p w14:paraId="5D6E6907" w14:textId="31C62A7C" w:rsidR="0003210C" w:rsidRPr="0003210C" w:rsidRDefault="00D97DA5" w:rsidP="003559EA">
      <w:pPr>
        <w:pStyle w:val="Teksttreci20"/>
        <w:numPr>
          <w:ilvl w:val="0"/>
          <w:numId w:val="1"/>
        </w:numPr>
        <w:shd w:val="clear" w:color="auto" w:fill="auto"/>
        <w:spacing w:before="0" w:after="0" w:line="276" w:lineRule="auto"/>
        <w:rPr>
          <w:rFonts w:cs="Times New Roman"/>
          <w:sz w:val="22"/>
          <w:szCs w:val="22"/>
        </w:rPr>
      </w:pPr>
      <w:r w:rsidRPr="00542BA9">
        <w:rPr>
          <w:rStyle w:val="Teksttreci310pt"/>
          <w:rFonts w:cs="Times New Roman"/>
          <w:b w:val="0"/>
          <w:bCs w:val="0"/>
          <w:sz w:val="22"/>
          <w:szCs w:val="22"/>
        </w:rPr>
        <w:t>Prezydium Polskiej Akademii Nauk</w:t>
      </w:r>
      <w:r w:rsidRPr="0067439F">
        <w:rPr>
          <w:rStyle w:val="Teksttreci310pt"/>
          <w:rFonts w:cs="Times New Roman"/>
          <w:sz w:val="22"/>
          <w:szCs w:val="22"/>
        </w:rPr>
        <w:t xml:space="preserve"> </w:t>
      </w:r>
      <w:r w:rsidRPr="0067439F">
        <w:rPr>
          <w:rFonts w:cs="Times New Roman"/>
          <w:sz w:val="22"/>
          <w:szCs w:val="22"/>
        </w:rPr>
        <w:t>wyraża zgodę na rozporządzenie składnikami aktywów trwałych przez</w:t>
      </w:r>
      <w:r>
        <w:rPr>
          <w:rFonts w:cs="Times New Roman"/>
          <w:sz w:val="22"/>
          <w:szCs w:val="22"/>
        </w:rPr>
        <w:t xml:space="preserve"> Instytut Chemii Bioorganicznej Polskiej Akademii Nauk</w:t>
      </w:r>
      <w:r w:rsidR="00B802C1">
        <w:rPr>
          <w:rFonts w:cs="Times New Roman"/>
          <w:sz w:val="22"/>
          <w:szCs w:val="22"/>
        </w:rPr>
        <w:t xml:space="preserve"> </w:t>
      </w:r>
      <w:r w:rsidR="002703B0" w:rsidRPr="003559EA">
        <w:rPr>
          <w:rFonts w:cs="Times New Roman"/>
          <w:b/>
          <w:bCs/>
          <w:sz w:val="22"/>
          <w:szCs w:val="22"/>
        </w:rPr>
        <w:t xml:space="preserve">polegające na obciążeniu </w:t>
      </w:r>
      <w:r w:rsidR="00542BA9" w:rsidRPr="003559EA">
        <w:rPr>
          <w:b/>
          <w:bCs/>
          <w:sz w:val="22"/>
        </w:rPr>
        <w:t>dw</w:t>
      </w:r>
      <w:r w:rsidR="00CE0C8E">
        <w:rPr>
          <w:b/>
          <w:bCs/>
          <w:sz w:val="22"/>
        </w:rPr>
        <w:t>iema</w:t>
      </w:r>
      <w:r w:rsidR="00542BA9" w:rsidRPr="003559EA">
        <w:rPr>
          <w:b/>
          <w:bCs/>
          <w:sz w:val="22"/>
        </w:rPr>
        <w:t xml:space="preserve"> hipotekami z równym pierwszeństwem zaspokojenia, na rzecz Banku Gospodarstwa Krajowego</w:t>
      </w:r>
      <w:r w:rsidR="00542BA9" w:rsidRPr="003559EA">
        <w:rPr>
          <w:sz w:val="22"/>
        </w:rPr>
        <w:t>,</w:t>
      </w:r>
      <w:r w:rsidR="00542BA9">
        <w:rPr>
          <w:rFonts w:cs="Times New Roman"/>
          <w:sz w:val="22"/>
          <w:szCs w:val="22"/>
        </w:rPr>
        <w:t xml:space="preserve"> </w:t>
      </w:r>
      <w:r w:rsidR="00415F2B" w:rsidRPr="003559EA">
        <w:rPr>
          <w:rFonts w:cs="Times New Roman"/>
          <w:b/>
          <w:bCs/>
          <w:sz w:val="22"/>
          <w:szCs w:val="22"/>
        </w:rPr>
        <w:t xml:space="preserve">nieruchomości </w:t>
      </w:r>
      <w:r w:rsidR="00542BA9" w:rsidRPr="003559EA">
        <w:rPr>
          <w:rFonts w:cs="Times New Roman"/>
          <w:b/>
          <w:bCs/>
          <w:sz w:val="22"/>
          <w:szCs w:val="22"/>
        </w:rPr>
        <w:t xml:space="preserve">położonej </w:t>
      </w:r>
      <w:r w:rsidR="00415F2B" w:rsidRPr="003559EA">
        <w:rPr>
          <w:rFonts w:cs="Times New Roman"/>
          <w:b/>
          <w:bCs/>
          <w:sz w:val="22"/>
          <w:szCs w:val="22"/>
        </w:rPr>
        <w:t>w</w:t>
      </w:r>
      <w:r w:rsidR="00B802C1" w:rsidRPr="003559EA">
        <w:rPr>
          <w:rFonts w:cs="Times New Roman"/>
          <w:b/>
          <w:bCs/>
          <w:sz w:val="22"/>
          <w:szCs w:val="22"/>
        </w:rPr>
        <w:t> </w:t>
      </w:r>
      <w:r w:rsidR="00415F2B" w:rsidRPr="003559EA">
        <w:rPr>
          <w:rFonts w:cs="Times New Roman"/>
          <w:b/>
          <w:bCs/>
          <w:sz w:val="22"/>
          <w:szCs w:val="22"/>
        </w:rPr>
        <w:t xml:space="preserve">Poznaniu </w:t>
      </w:r>
      <w:r w:rsidR="00415F2B" w:rsidRPr="003559EA">
        <w:rPr>
          <w:b/>
          <w:bCs/>
          <w:sz w:val="22"/>
        </w:rPr>
        <w:t>przy ul. Zwierzynieckiej 20</w:t>
      </w:r>
      <w:r w:rsidR="00DF7B13" w:rsidRPr="003559EA">
        <w:rPr>
          <w:sz w:val="22"/>
        </w:rPr>
        <w:t>,</w:t>
      </w:r>
      <w:r w:rsidR="00FF2011" w:rsidRPr="003559EA">
        <w:rPr>
          <w:sz w:val="22"/>
        </w:rPr>
        <w:t xml:space="preserve"> </w:t>
      </w:r>
      <w:r w:rsidR="00542BA9" w:rsidRPr="003559EA">
        <w:rPr>
          <w:sz w:val="22"/>
        </w:rPr>
        <w:t xml:space="preserve">w </w:t>
      </w:r>
      <w:r w:rsidR="00FF2011" w:rsidRPr="003559EA">
        <w:rPr>
          <w:sz w:val="22"/>
        </w:rPr>
        <w:t>obręb</w:t>
      </w:r>
      <w:r w:rsidR="00542BA9" w:rsidRPr="003559EA">
        <w:rPr>
          <w:sz w:val="22"/>
        </w:rPr>
        <w:t xml:space="preserve">ie </w:t>
      </w:r>
      <w:r w:rsidR="00FF2011" w:rsidRPr="003559EA">
        <w:rPr>
          <w:sz w:val="22"/>
        </w:rPr>
        <w:t xml:space="preserve">0021 Jeżyce, </w:t>
      </w:r>
      <w:r w:rsidR="00542BA9" w:rsidRPr="003559EA">
        <w:rPr>
          <w:sz w:val="22"/>
        </w:rPr>
        <w:t xml:space="preserve">oznaczonej w ewidencji gruntów jako działka </w:t>
      </w:r>
      <w:r w:rsidR="00FF2011" w:rsidRPr="003559EA">
        <w:rPr>
          <w:sz w:val="22"/>
        </w:rPr>
        <w:t>nr</w:t>
      </w:r>
      <w:r w:rsidR="0037752E" w:rsidRPr="003559EA">
        <w:rPr>
          <w:sz w:val="22"/>
        </w:rPr>
        <w:t> </w:t>
      </w:r>
      <w:r w:rsidR="00FF2011" w:rsidRPr="003559EA">
        <w:rPr>
          <w:sz w:val="22"/>
        </w:rPr>
        <w:t xml:space="preserve"> 67/2,</w:t>
      </w:r>
      <w:r w:rsidR="00FF2011">
        <w:rPr>
          <w:sz w:val="22"/>
        </w:rPr>
        <w:t xml:space="preserve"> </w:t>
      </w:r>
      <w:r w:rsidR="00D755AA">
        <w:rPr>
          <w:sz w:val="22"/>
        </w:rPr>
        <w:t>dla której Sąd Rejonowy Poznań – Stare Miasto w Poznaniu, V</w:t>
      </w:r>
      <w:r w:rsidR="0037752E">
        <w:rPr>
          <w:sz w:val="22"/>
        </w:rPr>
        <w:t> </w:t>
      </w:r>
      <w:r w:rsidR="00D755AA">
        <w:rPr>
          <w:sz w:val="22"/>
        </w:rPr>
        <w:t>Wydział Ksiąg Wieczystych, prowadzi księgę wieczystą o numerze PO1</w:t>
      </w:r>
      <w:r w:rsidR="00B250F2">
        <w:rPr>
          <w:sz w:val="22"/>
        </w:rPr>
        <w:t>P</w:t>
      </w:r>
      <w:r w:rsidR="00D755AA">
        <w:rPr>
          <w:sz w:val="22"/>
        </w:rPr>
        <w:t>/00122648/9</w:t>
      </w:r>
      <w:r w:rsidR="00B528C0">
        <w:rPr>
          <w:sz w:val="22"/>
        </w:rPr>
        <w:t>:</w:t>
      </w:r>
    </w:p>
    <w:p w14:paraId="6BA2F21D" w14:textId="0E0A43DB" w:rsidR="0003210C" w:rsidRPr="0003210C" w:rsidRDefault="00B528C0" w:rsidP="003559EA">
      <w:pPr>
        <w:pStyle w:val="Teksttreci20"/>
        <w:numPr>
          <w:ilvl w:val="0"/>
          <w:numId w:val="2"/>
        </w:numPr>
        <w:shd w:val="clear" w:color="auto" w:fill="auto"/>
        <w:spacing w:before="0" w:after="0" w:line="276" w:lineRule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do kwoty </w:t>
      </w:r>
      <w:r w:rsidRPr="00375023">
        <w:rPr>
          <w:rFonts w:cs="Times New Roman"/>
          <w:b/>
          <w:bCs/>
          <w:sz w:val="22"/>
          <w:szCs w:val="22"/>
        </w:rPr>
        <w:t xml:space="preserve">nie większej niż 15.000.000,00 zł </w:t>
      </w:r>
      <w:r>
        <w:rPr>
          <w:rFonts w:cs="Times New Roman"/>
          <w:sz w:val="22"/>
          <w:szCs w:val="22"/>
        </w:rPr>
        <w:t>(słownie: piętnaście milionów złoty</w:t>
      </w:r>
      <w:r w:rsidR="006141ED">
        <w:rPr>
          <w:rFonts w:cs="Times New Roman"/>
          <w:sz w:val="22"/>
          <w:szCs w:val="22"/>
        </w:rPr>
        <w:t>ch</w:t>
      </w:r>
      <w:r>
        <w:rPr>
          <w:rFonts w:cs="Times New Roman"/>
          <w:sz w:val="22"/>
          <w:szCs w:val="22"/>
        </w:rPr>
        <w:t xml:space="preserve">) </w:t>
      </w:r>
      <w:r w:rsidRPr="00375023">
        <w:rPr>
          <w:rFonts w:cs="Times New Roman"/>
          <w:b/>
          <w:bCs/>
          <w:sz w:val="22"/>
          <w:szCs w:val="22"/>
        </w:rPr>
        <w:t>na zabezpieczenie kredytu otwartego</w:t>
      </w:r>
      <w:r>
        <w:rPr>
          <w:rFonts w:cs="Times New Roman"/>
          <w:sz w:val="22"/>
          <w:szCs w:val="22"/>
        </w:rPr>
        <w:t xml:space="preserve"> </w:t>
      </w:r>
      <w:r w:rsidR="0002546B" w:rsidRPr="00375023">
        <w:rPr>
          <w:rFonts w:cs="Times New Roman"/>
          <w:b/>
          <w:bCs/>
          <w:sz w:val="22"/>
          <w:szCs w:val="22"/>
        </w:rPr>
        <w:t>w rachunku bieżącym</w:t>
      </w:r>
      <w:r w:rsidR="0002546B">
        <w:rPr>
          <w:rFonts w:cs="Times New Roman"/>
          <w:sz w:val="22"/>
          <w:szCs w:val="22"/>
        </w:rPr>
        <w:t xml:space="preserve"> w</w:t>
      </w:r>
      <w:r w:rsidR="006141ED">
        <w:rPr>
          <w:rFonts w:cs="Times New Roman"/>
          <w:sz w:val="22"/>
          <w:szCs w:val="22"/>
        </w:rPr>
        <w:t> </w:t>
      </w:r>
      <w:r w:rsidR="0002546B">
        <w:rPr>
          <w:rFonts w:cs="Times New Roman"/>
          <w:sz w:val="22"/>
          <w:szCs w:val="22"/>
        </w:rPr>
        <w:t>wysokości 10.000.000,00 zł (słownie: dziesięć milionów złotych);</w:t>
      </w:r>
    </w:p>
    <w:p w14:paraId="18BA33A6" w14:textId="7B391B1E" w:rsidR="0003210C" w:rsidRPr="0003210C" w:rsidRDefault="0002546B" w:rsidP="003559EA">
      <w:pPr>
        <w:pStyle w:val="Teksttreci20"/>
        <w:numPr>
          <w:ilvl w:val="0"/>
          <w:numId w:val="2"/>
        </w:numPr>
        <w:shd w:val="clear" w:color="auto" w:fill="auto"/>
        <w:spacing w:before="0" w:after="0" w:line="276" w:lineRule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do kwoty </w:t>
      </w:r>
      <w:r w:rsidRPr="00375023">
        <w:rPr>
          <w:rFonts w:cs="Times New Roman"/>
          <w:b/>
          <w:bCs/>
          <w:sz w:val="22"/>
          <w:szCs w:val="22"/>
        </w:rPr>
        <w:t>nie większej niż 10.500.000,00 zł</w:t>
      </w:r>
      <w:r>
        <w:rPr>
          <w:rFonts w:cs="Times New Roman"/>
          <w:sz w:val="22"/>
          <w:szCs w:val="22"/>
        </w:rPr>
        <w:t xml:space="preserve"> (słownie: dziesięć milionów pięćset tysięcy</w:t>
      </w:r>
      <w:r w:rsidR="003249C6">
        <w:rPr>
          <w:rFonts w:cs="Times New Roman"/>
          <w:sz w:val="22"/>
          <w:szCs w:val="22"/>
        </w:rPr>
        <w:t xml:space="preserve"> złotych</w:t>
      </w:r>
      <w:r>
        <w:rPr>
          <w:rFonts w:cs="Times New Roman"/>
          <w:sz w:val="22"/>
          <w:szCs w:val="22"/>
        </w:rPr>
        <w:t xml:space="preserve">) </w:t>
      </w:r>
      <w:r w:rsidRPr="00375023">
        <w:rPr>
          <w:rFonts w:cs="Times New Roman"/>
          <w:b/>
          <w:bCs/>
          <w:sz w:val="22"/>
          <w:szCs w:val="22"/>
        </w:rPr>
        <w:t>na zabezpieczenie kredytu inwestycyjnego</w:t>
      </w:r>
      <w:r>
        <w:rPr>
          <w:rFonts w:cs="Times New Roman"/>
          <w:sz w:val="22"/>
          <w:szCs w:val="22"/>
        </w:rPr>
        <w:t xml:space="preserve"> w wysokości 7.000.000,00</w:t>
      </w:r>
      <w:r w:rsidR="0037752E">
        <w:rPr>
          <w:rFonts w:cs="Times New Roman"/>
          <w:sz w:val="22"/>
          <w:szCs w:val="22"/>
        </w:rPr>
        <w:t> </w:t>
      </w:r>
      <w:r>
        <w:rPr>
          <w:rFonts w:cs="Times New Roman"/>
          <w:sz w:val="22"/>
          <w:szCs w:val="22"/>
        </w:rPr>
        <w:t>zł (słownie: siedem milionów złotych)</w:t>
      </w:r>
      <w:r w:rsidR="00D755AA">
        <w:rPr>
          <w:rFonts w:cs="Times New Roman"/>
          <w:sz w:val="22"/>
          <w:szCs w:val="22"/>
        </w:rPr>
        <w:t>.</w:t>
      </w:r>
    </w:p>
    <w:p w14:paraId="1D1F7806" w14:textId="77777777" w:rsidR="0003210C" w:rsidRDefault="0003210C" w:rsidP="003559EA">
      <w:pPr>
        <w:pStyle w:val="Teksttreci20"/>
        <w:shd w:val="clear" w:color="auto" w:fill="auto"/>
        <w:spacing w:before="0" w:after="0" w:line="276" w:lineRule="auto"/>
        <w:ind w:firstLine="0"/>
        <w:jc w:val="center"/>
        <w:rPr>
          <w:rFonts w:cs="Times New Roman"/>
          <w:sz w:val="22"/>
          <w:szCs w:val="22"/>
        </w:rPr>
      </w:pPr>
    </w:p>
    <w:p w14:paraId="65851EA2" w14:textId="6804D9AC" w:rsidR="009D311F" w:rsidRPr="00DF7B13" w:rsidRDefault="00D755AA" w:rsidP="003559EA">
      <w:pPr>
        <w:pStyle w:val="Teksttreci20"/>
        <w:shd w:val="clear" w:color="auto" w:fill="auto"/>
        <w:spacing w:before="0" w:after="0" w:line="276" w:lineRule="auto"/>
        <w:ind w:firstLine="0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§ 2</w:t>
      </w:r>
    </w:p>
    <w:p w14:paraId="6C9FEB64" w14:textId="1B069B75" w:rsidR="000E530A" w:rsidRDefault="00DF7B13" w:rsidP="003559EA">
      <w:pPr>
        <w:spacing w:after="0" w:line="276" w:lineRule="auto"/>
        <w:rPr>
          <w:rFonts w:ascii="Bookman Old Style" w:hAnsi="Bookman Old Style"/>
          <w:color w:val="auto"/>
          <w:sz w:val="22"/>
        </w:rPr>
      </w:pPr>
      <w:r w:rsidRPr="00593707">
        <w:rPr>
          <w:rFonts w:ascii="Bookman Old Style" w:hAnsi="Bookman Old Style"/>
          <w:color w:val="auto"/>
          <w:sz w:val="22"/>
        </w:rPr>
        <w:t xml:space="preserve">Wartość </w:t>
      </w:r>
      <w:r>
        <w:rPr>
          <w:rFonts w:ascii="Bookman Old Style" w:hAnsi="Bookman Old Style"/>
          <w:color w:val="auto"/>
          <w:sz w:val="22"/>
        </w:rPr>
        <w:t>rynkowa</w:t>
      </w:r>
      <w:r w:rsidRPr="00593707">
        <w:rPr>
          <w:rFonts w:ascii="Bookman Old Style" w:hAnsi="Bookman Old Style"/>
          <w:color w:val="auto"/>
          <w:sz w:val="22"/>
        </w:rPr>
        <w:t xml:space="preserve"> </w:t>
      </w:r>
      <w:r>
        <w:rPr>
          <w:rFonts w:ascii="Bookman Old Style" w:hAnsi="Bookman Old Style"/>
          <w:color w:val="auto"/>
          <w:sz w:val="22"/>
        </w:rPr>
        <w:t>prawa użytkowania wieczystego nieruchomości gruntowej</w:t>
      </w:r>
      <w:r w:rsidRPr="00593707">
        <w:rPr>
          <w:rFonts w:ascii="Bookman Old Style" w:hAnsi="Bookman Old Style"/>
          <w:color w:val="auto"/>
          <w:sz w:val="22"/>
        </w:rPr>
        <w:t xml:space="preserve"> wymienion</w:t>
      </w:r>
      <w:r>
        <w:rPr>
          <w:rFonts w:ascii="Bookman Old Style" w:hAnsi="Bookman Old Style"/>
          <w:color w:val="auto"/>
          <w:sz w:val="22"/>
        </w:rPr>
        <w:t xml:space="preserve">ej </w:t>
      </w:r>
      <w:r w:rsidRPr="00593707">
        <w:rPr>
          <w:rFonts w:ascii="Bookman Old Style" w:hAnsi="Bookman Old Style"/>
          <w:color w:val="auto"/>
          <w:sz w:val="22"/>
        </w:rPr>
        <w:t>w §</w:t>
      </w:r>
      <w:r>
        <w:rPr>
          <w:rFonts w:ascii="Bookman Old Style" w:hAnsi="Bookman Old Style"/>
          <w:color w:val="auto"/>
          <w:sz w:val="22"/>
        </w:rPr>
        <w:t>1 oraz prawa własności budynku posadowionego na ww.</w:t>
      </w:r>
      <w:r w:rsidR="00E01927">
        <w:rPr>
          <w:rFonts w:ascii="Bookman Old Style" w:hAnsi="Bookman Old Style"/>
          <w:color w:val="auto"/>
          <w:sz w:val="22"/>
        </w:rPr>
        <w:t> </w:t>
      </w:r>
      <w:r>
        <w:rPr>
          <w:rFonts w:ascii="Bookman Old Style" w:hAnsi="Bookman Old Style"/>
          <w:color w:val="auto"/>
          <w:sz w:val="22"/>
        </w:rPr>
        <w:t>nieruchomości wynosi 16.349.000,00 zł</w:t>
      </w:r>
      <w:r w:rsidR="000E530A">
        <w:rPr>
          <w:rFonts w:ascii="Bookman Old Style" w:hAnsi="Bookman Old Style"/>
          <w:color w:val="auto"/>
          <w:sz w:val="22"/>
        </w:rPr>
        <w:t xml:space="preserve"> (słownie: szesnaście milionów trzysta czterdzieści dziewięć tysięcy złotych)</w:t>
      </w:r>
      <w:r w:rsidR="0037752E">
        <w:rPr>
          <w:rFonts w:ascii="Bookman Old Style" w:hAnsi="Bookman Old Style"/>
          <w:color w:val="auto"/>
          <w:sz w:val="22"/>
        </w:rPr>
        <w:t>.</w:t>
      </w:r>
      <w:r w:rsidR="000E530A">
        <w:rPr>
          <w:rFonts w:ascii="Bookman Old Style" w:hAnsi="Bookman Old Style"/>
          <w:color w:val="auto"/>
          <w:sz w:val="22"/>
        </w:rPr>
        <w:t xml:space="preserve"> </w:t>
      </w:r>
      <w:r w:rsidR="0037752E">
        <w:rPr>
          <w:rFonts w:ascii="Bookman Old Style" w:hAnsi="Bookman Old Style"/>
          <w:color w:val="auto"/>
          <w:sz w:val="22"/>
        </w:rPr>
        <w:t>Z</w:t>
      </w:r>
      <w:r w:rsidR="000E530A">
        <w:rPr>
          <w:rFonts w:ascii="Bookman Old Style" w:hAnsi="Bookman Old Style"/>
          <w:color w:val="auto"/>
          <w:sz w:val="22"/>
        </w:rPr>
        <w:t>ostała</w:t>
      </w:r>
      <w:r w:rsidR="0037752E">
        <w:rPr>
          <w:rFonts w:ascii="Bookman Old Style" w:hAnsi="Bookman Old Style"/>
          <w:color w:val="auto"/>
          <w:sz w:val="22"/>
        </w:rPr>
        <w:t xml:space="preserve"> ona</w:t>
      </w:r>
      <w:r w:rsidR="000E530A">
        <w:rPr>
          <w:rFonts w:ascii="Bookman Old Style" w:hAnsi="Bookman Old Style"/>
          <w:color w:val="auto"/>
          <w:sz w:val="22"/>
        </w:rPr>
        <w:t xml:space="preserve"> określona w operacie szacunkowym z dnia 28 lipca 2022 r. sporządzonym przez rzeczoznawcę majątkowego Izabelę Czyżewską (nr uprawnień: 6612).</w:t>
      </w:r>
    </w:p>
    <w:p w14:paraId="15292F36" w14:textId="77777777" w:rsidR="0003210C" w:rsidRDefault="0003210C" w:rsidP="00EF3E63">
      <w:pPr>
        <w:spacing w:after="0" w:line="360" w:lineRule="auto"/>
        <w:jc w:val="center"/>
        <w:rPr>
          <w:rFonts w:ascii="Bookman Old Style" w:hAnsi="Bookman Old Style"/>
          <w:sz w:val="22"/>
        </w:rPr>
      </w:pPr>
    </w:p>
    <w:p w14:paraId="32232A35" w14:textId="67869817" w:rsidR="000E530A" w:rsidRDefault="000E530A" w:rsidP="003559EA">
      <w:pPr>
        <w:spacing w:after="0" w:line="360" w:lineRule="auto"/>
        <w:jc w:val="center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>§ 3</w:t>
      </w:r>
    </w:p>
    <w:p w14:paraId="3508FF81" w14:textId="31859A3A" w:rsidR="003559EA" w:rsidRDefault="000E530A" w:rsidP="00EF3E63">
      <w:pPr>
        <w:spacing w:after="0" w:line="360" w:lineRule="auto"/>
        <w:rPr>
          <w:rFonts w:ascii="Bookman Old Style" w:hAnsi="Bookman Old Style"/>
          <w:sz w:val="22"/>
        </w:rPr>
      </w:pPr>
      <w:r w:rsidRPr="0067439F">
        <w:rPr>
          <w:rFonts w:ascii="Bookman Old Style" w:hAnsi="Bookman Old Style"/>
          <w:sz w:val="22"/>
        </w:rPr>
        <w:t>Uchwała wchodzi w życie z dniem podjęcia.</w:t>
      </w:r>
      <w:bookmarkStart w:id="1" w:name="bookmark2"/>
    </w:p>
    <w:p w14:paraId="34DF86EB" w14:textId="77777777" w:rsidR="000E530A" w:rsidRPr="0067439F" w:rsidRDefault="000E530A" w:rsidP="001F1FA2">
      <w:pPr>
        <w:spacing w:after="0" w:line="360" w:lineRule="auto"/>
        <w:ind w:left="0"/>
        <w:rPr>
          <w:rFonts w:ascii="Bookman Old Style" w:hAnsi="Bookman Old Style"/>
          <w:sz w:val="22"/>
        </w:rPr>
      </w:pPr>
    </w:p>
    <w:p w14:paraId="7E47BDDC" w14:textId="77777777" w:rsidR="000E530A" w:rsidRPr="001F1FA2" w:rsidRDefault="000E530A" w:rsidP="00EF3E63">
      <w:pPr>
        <w:spacing w:after="0" w:line="360" w:lineRule="auto"/>
        <w:ind w:left="4956"/>
        <w:jc w:val="center"/>
        <w:rPr>
          <w:rFonts w:ascii="Bookman Old Style" w:hAnsi="Bookman Old Style"/>
          <w:bCs/>
          <w:sz w:val="22"/>
        </w:rPr>
      </w:pPr>
      <w:r w:rsidRPr="001F1FA2">
        <w:rPr>
          <w:rFonts w:ascii="Bookman Old Style" w:hAnsi="Bookman Old Style"/>
          <w:bCs/>
          <w:sz w:val="22"/>
        </w:rPr>
        <w:t>PREZES</w:t>
      </w:r>
      <w:bookmarkStart w:id="2" w:name="bookmark3"/>
      <w:bookmarkEnd w:id="1"/>
    </w:p>
    <w:p w14:paraId="6AAB1A3D" w14:textId="6D7A5DD0" w:rsidR="000E530A" w:rsidRPr="001F1FA2" w:rsidRDefault="000E530A" w:rsidP="00EF3E63">
      <w:pPr>
        <w:spacing w:after="0" w:line="360" w:lineRule="auto"/>
        <w:ind w:left="4956"/>
        <w:jc w:val="center"/>
        <w:rPr>
          <w:rFonts w:ascii="Bookman Old Style" w:hAnsi="Bookman Old Style"/>
          <w:bCs/>
          <w:sz w:val="22"/>
        </w:rPr>
      </w:pPr>
      <w:r w:rsidRPr="001F1FA2">
        <w:rPr>
          <w:rFonts w:ascii="Bookman Old Style" w:hAnsi="Bookman Old Style"/>
          <w:bCs/>
          <w:sz w:val="22"/>
        </w:rPr>
        <w:t>POLSKIEJ AKADEMII NAUK</w:t>
      </w:r>
      <w:bookmarkEnd w:id="2"/>
    </w:p>
    <w:p w14:paraId="411A8401" w14:textId="79D4B41E" w:rsidR="000E530A" w:rsidRDefault="000E530A" w:rsidP="00EF3E63">
      <w:pPr>
        <w:spacing w:after="0" w:line="360" w:lineRule="auto"/>
        <w:ind w:left="4956"/>
        <w:jc w:val="center"/>
        <w:rPr>
          <w:rFonts w:ascii="Bookman Old Style" w:hAnsi="Bookman Old Style"/>
          <w:bCs/>
          <w:sz w:val="22"/>
        </w:rPr>
      </w:pPr>
    </w:p>
    <w:p w14:paraId="700EE1E6" w14:textId="77777777" w:rsidR="001F1FA2" w:rsidRPr="001F1FA2" w:rsidRDefault="001F1FA2" w:rsidP="00EF3E63">
      <w:pPr>
        <w:spacing w:after="0" w:line="360" w:lineRule="auto"/>
        <w:ind w:left="4956"/>
        <w:jc w:val="center"/>
        <w:rPr>
          <w:rFonts w:ascii="Bookman Old Style" w:hAnsi="Bookman Old Style"/>
          <w:bCs/>
          <w:sz w:val="22"/>
        </w:rPr>
      </w:pPr>
    </w:p>
    <w:p w14:paraId="6D6FEF79" w14:textId="77777777" w:rsidR="0003210C" w:rsidRPr="001F1FA2" w:rsidRDefault="0003210C" w:rsidP="00EF3E63">
      <w:pPr>
        <w:spacing w:after="0" w:line="360" w:lineRule="auto"/>
        <w:ind w:left="4956"/>
        <w:jc w:val="center"/>
        <w:rPr>
          <w:rFonts w:ascii="Bookman Old Style" w:hAnsi="Bookman Old Style"/>
          <w:bCs/>
          <w:sz w:val="22"/>
        </w:rPr>
      </w:pPr>
      <w:r w:rsidRPr="001F1FA2">
        <w:rPr>
          <w:rFonts w:ascii="Bookman Old Style" w:hAnsi="Bookman Old Style"/>
          <w:bCs/>
          <w:sz w:val="22"/>
        </w:rPr>
        <w:t>Jerzy Duszyński</w:t>
      </w:r>
    </w:p>
    <w:p w14:paraId="445E5343" w14:textId="4B08D238" w:rsidR="00A60E91" w:rsidRDefault="0003210C" w:rsidP="00BD531E">
      <w:pPr>
        <w:spacing w:after="0" w:line="240" w:lineRule="auto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b/>
          <w:sz w:val="22"/>
        </w:rPr>
        <w:br w:type="page"/>
      </w:r>
      <w:r w:rsidR="003559EA" w:rsidRPr="00BD531E">
        <w:rPr>
          <w:rFonts w:ascii="Bookman Old Style" w:hAnsi="Bookman Old Style"/>
          <w:szCs w:val="24"/>
        </w:rPr>
        <w:lastRenderedPageBreak/>
        <w:t>UZASADNIENIE</w:t>
      </w:r>
    </w:p>
    <w:p w14:paraId="2C757E72" w14:textId="77777777" w:rsidR="00BD531E" w:rsidRPr="00BD531E" w:rsidRDefault="00BD531E" w:rsidP="00BD531E">
      <w:pPr>
        <w:spacing w:after="0" w:line="240" w:lineRule="auto"/>
        <w:jc w:val="center"/>
        <w:rPr>
          <w:rFonts w:ascii="Bookman Old Style" w:hAnsi="Bookman Old Style"/>
          <w:szCs w:val="24"/>
        </w:rPr>
      </w:pPr>
    </w:p>
    <w:p w14:paraId="578FF1E1" w14:textId="4F1C4DD6" w:rsidR="00A60E91" w:rsidRPr="00E10AFF" w:rsidRDefault="00A60E91" w:rsidP="00243906">
      <w:pPr>
        <w:spacing w:after="0" w:line="276" w:lineRule="auto"/>
        <w:rPr>
          <w:rFonts w:ascii="Bookman Old Style" w:hAnsi="Bookman Old Style"/>
          <w:sz w:val="22"/>
        </w:rPr>
      </w:pPr>
      <w:r w:rsidRPr="00E10AFF">
        <w:rPr>
          <w:rFonts w:ascii="Bookman Old Style" w:hAnsi="Bookman Old Style"/>
          <w:sz w:val="22"/>
        </w:rPr>
        <w:tab/>
        <w:t xml:space="preserve">Pismem z dnia 9 sierpnia 2022 r. Instytut Chemii Bioorganicznej Polskiej Akademii Nauk, dalej jako: „Instytut” </w:t>
      </w:r>
      <w:r w:rsidR="008A05F8" w:rsidRPr="00E10AFF">
        <w:rPr>
          <w:rFonts w:ascii="Bookman Old Style" w:hAnsi="Bookman Old Style"/>
          <w:sz w:val="22"/>
        </w:rPr>
        <w:t xml:space="preserve">wystąpił o wyrażenie zgody przez Prezesa Polskiej Akademii Nauk i Prezydium Polskiej Akademii Nauk na rozporządzenie składnikami aktywów trwałych polegające na obciążeniu </w:t>
      </w:r>
      <w:r w:rsidR="00BA7259" w:rsidRPr="00D34727">
        <w:rPr>
          <w:rFonts w:ascii="Bookman Old Style" w:hAnsi="Bookman Old Style"/>
          <w:sz w:val="22"/>
        </w:rPr>
        <w:t>dw</w:t>
      </w:r>
      <w:r w:rsidR="00CE0C8E">
        <w:rPr>
          <w:rFonts w:ascii="Bookman Old Style" w:hAnsi="Bookman Old Style"/>
          <w:sz w:val="22"/>
        </w:rPr>
        <w:t>iema</w:t>
      </w:r>
      <w:r w:rsidR="008A05F8" w:rsidRPr="00E10AFF">
        <w:rPr>
          <w:rFonts w:ascii="Bookman Old Style" w:hAnsi="Bookman Old Style"/>
          <w:sz w:val="22"/>
        </w:rPr>
        <w:t xml:space="preserve"> hipotekami nieruchomości, będącej w użytkowaniu wieczystym Instytutu</w:t>
      </w:r>
      <w:r w:rsidR="00D34727">
        <w:rPr>
          <w:rFonts w:ascii="Bookman Old Style" w:hAnsi="Bookman Old Style"/>
          <w:sz w:val="22"/>
        </w:rPr>
        <w:t>,</w:t>
      </w:r>
      <w:r w:rsidR="008A05F8" w:rsidRPr="00E10AFF">
        <w:rPr>
          <w:rFonts w:ascii="Bookman Old Style" w:hAnsi="Bookman Old Style"/>
          <w:sz w:val="22"/>
        </w:rPr>
        <w:t xml:space="preserve"> </w:t>
      </w:r>
      <w:r w:rsidR="00986BFE" w:rsidRPr="00E10AFF">
        <w:rPr>
          <w:rFonts w:ascii="Bookman Old Style" w:hAnsi="Bookman Old Style"/>
          <w:sz w:val="22"/>
        </w:rPr>
        <w:t>znajdującej się w Poznaniu przy ul. Zwierzynieckiej 20, obręb 0021 Jeżyce, nr ew. 67/2, dla której Sąd Rejonowy Poznań – Stare Miasto w Poznaniu, V</w:t>
      </w:r>
      <w:r w:rsidR="00F01BF5" w:rsidRPr="00E10AFF">
        <w:rPr>
          <w:rFonts w:ascii="Bookman Old Style" w:hAnsi="Bookman Old Style"/>
          <w:sz w:val="22"/>
        </w:rPr>
        <w:t xml:space="preserve"> </w:t>
      </w:r>
      <w:r w:rsidR="00986BFE" w:rsidRPr="00E10AFF">
        <w:rPr>
          <w:rFonts w:ascii="Bookman Old Style" w:hAnsi="Bookman Old Style"/>
          <w:sz w:val="22"/>
        </w:rPr>
        <w:t>Wydział Ksiąg Wieczystych, prowadzi księgę wieczystą o numerze: PO1</w:t>
      </w:r>
      <w:r w:rsidR="00B250F2">
        <w:rPr>
          <w:rFonts w:ascii="Bookman Old Style" w:hAnsi="Bookman Old Style"/>
          <w:sz w:val="22"/>
        </w:rPr>
        <w:t>P</w:t>
      </w:r>
      <w:r w:rsidR="00986BFE" w:rsidRPr="00E10AFF">
        <w:rPr>
          <w:rFonts w:ascii="Bookman Old Style" w:hAnsi="Bookman Old Style"/>
          <w:sz w:val="22"/>
        </w:rPr>
        <w:t>/00122648/9</w:t>
      </w:r>
      <w:r w:rsidR="00F01BF5" w:rsidRPr="00E10AFF">
        <w:rPr>
          <w:rFonts w:ascii="Bookman Old Style" w:hAnsi="Bookman Old Style"/>
          <w:sz w:val="22"/>
        </w:rPr>
        <w:t>. Obie hipoteki mają być ustanowione na rzecz Banku Gospodarstwa Krajowego</w:t>
      </w:r>
      <w:r w:rsidR="00AF37DE" w:rsidRPr="00AF37DE">
        <w:rPr>
          <w:rFonts w:ascii="Bookman Old Style" w:hAnsi="Bookman Old Style"/>
          <w:sz w:val="22"/>
        </w:rPr>
        <w:t xml:space="preserve"> </w:t>
      </w:r>
      <w:r w:rsidR="00AF37DE" w:rsidRPr="00E10AFF">
        <w:rPr>
          <w:rFonts w:ascii="Bookman Old Style" w:hAnsi="Bookman Old Style"/>
          <w:sz w:val="22"/>
        </w:rPr>
        <w:t xml:space="preserve">z równym pierwszeństwem </w:t>
      </w:r>
      <w:r w:rsidR="00AF37DE">
        <w:rPr>
          <w:rFonts w:ascii="Bookman Old Style" w:hAnsi="Bookman Old Style"/>
          <w:sz w:val="22"/>
        </w:rPr>
        <w:t>zaspokojenia</w:t>
      </w:r>
      <w:r w:rsidR="00F01BF5" w:rsidRPr="00E10AFF">
        <w:rPr>
          <w:rFonts w:ascii="Bookman Old Style" w:hAnsi="Bookman Old Style"/>
          <w:sz w:val="22"/>
        </w:rPr>
        <w:t xml:space="preserve">. </w:t>
      </w:r>
    </w:p>
    <w:p w14:paraId="15001543" w14:textId="3F789341" w:rsidR="00F01BF5" w:rsidRDefault="00F01BF5" w:rsidP="00243906">
      <w:pPr>
        <w:pStyle w:val="Teksttreci20"/>
        <w:shd w:val="clear" w:color="auto" w:fill="auto"/>
        <w:spacing w:before="0" w:after="0" w:line="276" w:lineRule="auto"/>
        <w:ind w:firstLine="0"/>
        <w:rPr>
          <w:rFonts w:cs="Times New Roman"/>
          <w:sz w:val="22"/>
          <w:szCs w:val="22"/>
        </w:rPr>
      </w:pPr>
      <w:r w:rsidRPr="00E10AFF">
        <w:rPr>
          <w:sz w:val="22"/>
        </w:rPr>
        <w:tab/>
        <w:t>Hipoteka ujęta w § 1 pkt. a niniejszej uchwały</w:t>
      </w:r>
      <w:r w:rsidR="00BA7259">
        <w:rPr>
          <w:sz w:val="22"/>
        </w:rPr>
        <w:t xml:space="preserve"> </w:t>
      </w:r>
      <w:r w:rsidR="00D22BB8">
        <w:rPr>
          <w:sz w:val="22"/>
        </w:rPr>
        <w:t xml:space="preserve">miałaby </w:t>
      </w:r>
      <w:r w:rsidR="00BA7259">
        <w:rPr>
          <w:sz w:val="22"/>
        </w:rPr>
        <w:t>słu</w:t>
      </w:r>
      <w:r w:rsidR="00D22BB8">
        <w:rPr>
          <w:sz w:val="22"/>
        </w:rPr>
        <w:t xml:space="preserve">żyć </w:t>
      </w:r>
      <w:r w:rsidRPr="00E10AFF">
        <w:rPr>
          <w:rFonts w:cs="Times New Roman"/>
          <w:sz w:val="22"/>
          <w:szCs w:val="22"/>
        </w:rPr>
        <w:t>zabezpieczeni</w:t>
      </w:r>
      <w:r w:rsidR="00BA7259">
        <w:rPr>
          <w:rFonts w:cs="Times New Roman"/>
          <w:sz w:val="22"/>
          <w:szCs w:val="22"/>
        </w:rPr>
        <w:t>u</w:t>
      </w:r>
      <w:r w:rsidRPr="00E10AFF">
        <w:rPr>
          <w:rFonts w:cs="Times New Roman"/>
          <w:sz w:val="22"/>
          <w:szCs w:val="22"/>
        </w:rPr>
        <w:t xml:space="preserve"> kredytu otwartego w rachunku bieżącym w wysokości 10.000.000,00 zł</w:t>
      </w:r>
      <w:r w:rsidR="002C1612">
        <w:rPr>
          <w:rFonts w:cs="Times New Roman"/>
          <w:sz w:val="22"/>
          <w:szCs w:val="22"/>
        </w:rPr>
        <w:t xml:space="preserve"> </w:t>
      </w:r>
      <w:r w:rsidRPr="00E10AFF">
        <w:rPr>
          <w:rFonts w:cs="Times New Roman"/>
          <w:sz w:val="22"/>
          <w:szCs w:val="22"/>
        </w:rPr>
        <w:t>(słownie: dziesięć milionów złotych)</w:t>
      </w:r>
      <w:r w:rsidRPr="00E10AFF">
        <w:rPr>
          <w:sz w:val="22"/>
        </w:rPr>
        <w:t xml:space="preserve"> </w:t>
      </w:r>
      <w:r w:rsidRPr="00E10AFF">
        <w:rPr>
          <w:rFonts w:cs="Times New Roman"/>
          <w:sz w:val="22"/>
          <w:szCs w:val="22"/>
        </w:rPr>
        <w:t>do kwoty nie większej niż 15.000.000,00 zł (słownie: piętnaście milionów złoty)</w:t>
      </w:r>
      <w:r w:rsidRPr="00E10AFF">
        <w:rPr>
          <w:sz w:val="22"/>
        </w:rPr>
        <w:t>, natomiast hipoteka ujęta w § 1 pkt. b</w:t>
      </w:r>
      <w:r w:rsidR="00D22BB8">
        <w:rPr>
          <w:sz w:val="22"/>
        </w:rPr>
        <w:t xml:space="preserve"> </w:t>
      </w:r>
      <w:r w:rsidR="00D22BB8">
        <w:rPr>
          <w:rFonts w:cs="Times New Roman"/>
          <w:sz w:val="22"/>
          <w:szCs w:val="22"/>
        </w:rPr>
        <w:t xml:space="preserve">zabezpieczałaby </w:t>
      </w:r>
      <w:r w:rsidRPr="00E10AFF">
        <w:rPr>
          <w:rFonts w:cs="Times New Roman"/>
          <w:sz w:val="22"/>
          <w:szCs w:val="22"/>
        </w:rPr>
        <w:t>kredyt inwestycyjn</w:t>
      </w:r>
      <w:r w:rsidR="00D22BB8">
        <w:rPr>
          <w:rFonts w:cs="Times New Roman"/>
          <w:sz w:val="22"/>
          <w:szCs w:val="22"/>
        </w:rPr>
        <w:t>y</w:t>
      </w:r>
      <w:r w:rsidRPr="00E10AFF">
        <w:rPr>
          <w:rFonts w:cs="Times New Roman"/>
          <w:sz w:val="22"/>
          <w:szCs w:val="22"/>
        </w:rPr>
        <w:t xml:space="preserve"> w wysokości 7.000.000,00 zł (słownie: siedem milionów złotych)</w:t>
      </w:r>
      <w:r w:rsidR="003249C6" w:rsidRPr="00E10AFF">
        <w:rPr>
          <w:rFonts w:cs="Times New Roman"/>
          <w:sz w:val="22"/>
          <w:szCs w:val="22"/>
        </w:rPr>
        <w:t xml:space="preserve"> do kwoty nie większej niż 10.500.000,00 zł (słownie: dziesięć milionów pięćset tysięcy złotych). </w:t>
      </w:r>
      <w:r w:rsidR="00D22BB8">
        <w:rPr>
          <w:rFonts w:cs="Times New Roman"/>
          <w:sz w:val="22"/>
          <w:szCs w:val="22"/>
        </w:rPr>
        <w:t>Przedmiotowe</w:t>
      </w:r>
      <w:r w:rsidR="003249C6" w:rsidRPr="00E10AFF">
        <w:rPr>
          <w:rFonts w:cs="Times New Roman"/>
          <w:sz w:val="22"/>
          <w:szCs w:val="22"/>
        </w:rPr>
        <w:t xml:space="preserve"> kredyty mają być udzielone na podstawie umów kredytowych zawartych z Bankiem Gospodarstwa Krajowego.</w:t>
      </w:r>
    </w:p>
    <w:p w14:paraId="5A55B8E8" w14:textId="6DAAC6B5" w:rsidR="00650349" w:rsidRDefault="007566B8" w:rsidP="00243906">
      <w:pPr>
        <w:pStyle w:val="Teksttreci20"/>
        <w:shd w:val="clear" w:color="auto" w:fill="auto"/>
        <w:spacing w:before="0" w:after="0" w:line="276" w:lineRule="auto"/>
        <w:ind w:firstLine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  <w:t>W uzasadnieniu ubiegania się o kredyt inwestycyjny, Instytut wskazuje na udział</w:t>
      </w:r>
      <w:r w:rsidR="00D22BB8">
        <w:rPr>
          <w:rFonts w:cs="Times New Roman"/>
          <w:sz w:val="22"/>
          <w:szCs w:val="22"/>
        </w:rPr>
        <w:t>, w raz ze swoją jednostką organizacyjną tj. Poznańskim Centrum Superkomputerowo Sieciowym</w:t>
      </w:r>
      <w:r w:rsidR="002C1612">
        <w:rPr>
          <w:rFonts w:cs="Times New Roman"/>
          <w:sz w:val="22"/>
          <w:szCs w:val="22"/>
        </w:rPr>
        <w:t>,</w:t>
      </w:r>
      <w:r w:rsidR="00E73364">
        <w:rPr>
          <w:rFonts w:cs="Times New Roman"/>
          <w:sz w:val="22"/>
          <w:szCs w:val="22"/>
        </w:rPr>
        <w:t xml:space="preserve"> dalej jako: „PCCS”,</w:t>
      </w:r>
      <w:r w:rsidR="00D22BB8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 xml:space="preserve">w projekcie </w:t>
      </w:r>
      <w:r w:rsidRPr="003A321A">
        <w:rPr>
          <w:rFonts w:cs="Times New Roman"/>
          <w:i/>
          <w:iCs/>
          <w:sz w:val="22"/>
          <w:szCs w:val="22"/>
        </w:rPr>
        <w:t>„AEROSFERA. Lo</w:t>
      </w:r>
      <w:r w:rsidR="00990136" w:rsidRPr="003A321A">
        <w:rPr>
          <w:rFonts w:cs="Times New Roman"/>
          <w:i/>
          <w:iCs/>
          <w:sz w:val="22"/>
          <w:szCs w:val="22"/>
        </w:rPr>
        <w:t>t</w:t>
      </w:r>
      <w:r w:rsidRPr="003A321A">
        <w:rPr>
          <w:rFonts w:cs="Times New Roman"/>
          <w:i/>
          <w:iCs/>
          <w:sz w:val="22"/>
          <w:szCs w:val="22"/>
        </w:rPr>
        <w:t>nisko rzeczy”</w:t>
      </w:r>
      <w:r w:rsidR="003A321A">
        <w:rPr>
          <w:rFonts w:cs="Times New Roman"/>
          <w:sz w:val="22"/>
          <w:szCs w:val="22"/>
        </w:rPr>
        <w:t>. Od 20019 r. Instytut wraz z konsorcjum Politechniki Poznańskiej zaangażowany jest w przedmiotowy projekt. Jego współfinansowa</w:t>
      </w:r>
      <w:r w:rsidR="00963045">
        <w:rPr>
          <w:rFonts w:cs="Times New Roman"/>
          <w:sz w:val="22"/>
          <w:szCs w:val="22"/>
        </w:rPr>
        <w:t>nie odbywa się</w:t>
      </w:r>
      <w:r w:rsidR="003A321A">
        <w:rPr>
          <w:rFonts w:cs="Times New Roman"/>
          <w:sz w:val="22"/>
          <w:szCs w:val="22"/>
        </w:rPr>
        <w:t xml:space="preserve"> </w:t>
      </w:r>
      <w:r w:rsidR="00964D7C">
        <w:rPr>
          <w:rFonts w:cs="Times New Roman"/>
          <w:sz w:val="22"/>
          <w:szCs w:val="22"/>
        </w:rPr>
        <w:t>w</w:t>
      </w:r>
      <w:r w:rsidR="00E01927">
        <w:rPr>
          <w:rFonts w:cs="Times New Roman"/>
          <w:sz w:val="22"/>
          <w:szCs w:val="22"/>
        </w:rPr>
        <w:t> </w:t>
      </w:r>
      <w:r w:rsidR="00964D7C">
        <w:rPr>
          <w:rFonts w:cs="Times New Roman"/>
          <w:sz w:val="22"/>
          <w:szCs w:val="22"/>
        </w:rPr>
        <w:t>ramach Europejskiego Funduszu Regionalnego</w:t>
      </w:r>
      <w:r w:rsidR="00990136">
        <w:rPr>
          <w:rFonts w:cs="Times New Roman"/>
          <w:sz w:val="22"/>
          <w:szCs w:val="22"/>
        </w:rPr>
        <w:t xml:space="preserve">. </w:t>
      </w:r>
      <w:r w:rsidR="0044098E">
        <w:rPr>
          <w:rFonts w:cs="Times New Roman"/>
          <w:sz w:val="22"/>
          <w:szCs w:val="22"/>
        </w:rPr>
        <w:t>Koncepcję projektu</w:t>
      </w:r>
      <w:r w:rsidR="00990136">
        <w:rPr>
          <w:rFonts w:cs="Times New Roman"/>
          <w:sz w:val="22"/>
          <w:szCs w:val="22"/>
        </w:rPr>
        <w:t xml:space="preserve"> Instytut realizuje</w:t>
      </w:r>
      <w:r w:rsidR="0044098E">
        <w:rPr>
          <w:rFonts w:cs="Times New Roman"/>
          <w:sz w:val="22"/>
          <w:szCs w:val="22"/>
        </w:rPr>
        <w:t xml:space="preserve"> poprzez</w:t>
      </w:r>
      <w:r w:rsidR="00990136">
        <w:rPr>
          <w:rFonts w:cs="Times New Roman"/>
          <w:sz w:val="22"/>
          <w:szCs w:val="22"/>
        </w:rPr>
        <w:t xml:space="preserve"> budowę hangaru dla bezzałogowych statków powietrznych wraz z</w:t>
      </w:r>
      <w:r w:rsidR="00E01927">
        <w:rPr>
          <w:rFonts w:cs="Times New Roman"/>
          <w:sz w:val="22"/>
          <w:szCs w:val="22"/>
        </w:rPr>
        <w:t> </w:t>
      </w:r>
      <w:r w:rsidR="00990136">
        <w:rPr>
          <w:rFonts w:cs="Times New Roman"/>
          <w:sz w:val="22"/>
          <w:szCs w:val="22"/>
        </w:rPr>
        <w:t>zapleczem laboratoryjno-badaw</w:t>
      </w:r>
      <w:r w:rsidR="00900AB6">
        <w:rPr>
          <w:rFonts w:cs="Times New Roman"/>
          <w:sz w:val="22"/>
          <w:szCs w:val="22"/>
        </w:rPr>
        <w:t xml:space="preserve">czym i jego wyposażeniem w specjalistyczną infrastrukturę. </w:t>
      </w:r>
      <w:r w:rsidR="0044098E">
        <w:rPr>
          <w:rFonts w:cs="Times New Roman"/>
          <w:sz w:val="22"/>
          <w:szCs w:val="22"/>
        </w:rPr>
        <w:t>Tworzona</w:t>
      </w:r>
      <w:r w:rsidR="00900AB6">
        <w:rPr>
          <w:rFonts w:cs="Times New Roman"/>
          <w:sz w:val="22"/>
          <w:szCs w:val="22"/>
        </w:rPr>
        <w:t xml:space="preserve"> infrastruktura jest unikatowym na skalę międzynarodową wielodziedzinowym laboratorium zastosowań technologii BSP, systemów kontroli lotów i bezpiecznej ich </w:t>
      </w:r>
      <w:r w:rsidR="00423029">
        <w:rPr>
          <w:rFonts w:cs="Times New Roman"/>
          <w:sz w:val="22"/>
          <w:szCs w:val="22"/>
        </w:rPr>
        <w:t>eksploatacji</w:t>
      </w:r>
      <w:r w:rsidR="00900AB6">
        <w:rPr>
          <w:rFonts w:cs="Times New Roman"/>
          <w:sz w:val="22"/>
          <w:szCs w:val="22"/>
        </w:rPr>
        <w:t>. Stwarza ona warunki m.in. do rozwoju współpracy naukowo-przemysłowej oraz prowadzenia eksperymentalnych prac badawczo-</w:t>
      </w:r>
      <w:r w:rsidR="00423029">
        <w:rPr>
          <w:rFonts w:cs="Times New Roman"/>
          <w:sz w:val="22"/>
          <w:szCs w:val="22"/>
        </w:rPr>
        <w:t>rozwojowych</w:t>
      </w:r>
      <w:r w:rsidR="00900AB6">
        <w:rPr>
          <w:rFonts w:cs="Times New Roman"/>
          <w:sz w:val="22"/>
          <w:szCs w:val="22"/>
        </w:rPr>
        <w:t>. Z uwagi na znaczny wzrost kosztów materiałów budowlanych, spowodowany pandemią oraz niekorzystną sytuacją gospodarczą panującą w Europie od wybuchu wojny w Ukrainie</w:t>
      </w:r>
      <w:r w:rsidR="00423029">
        <w:rPr>
          <w:rFonts w:cs="Times New Roman"/>
          <w:sz w:val="22"/>
          <w:szCs w:val="22"/>
        </w:rPr>
        <w:t xml:space="preserve">, Instytut zmuszony </w:t>
      </w:r>
      <w:r w:rsidR="0011016C">
        <w:rPr>
          <w:rFonts w:cs="Times New Roman"/>
          <w:sz w:val="22"/>
          <w:szCs w:val="22"/>
        </w:rPr>
        <w:t xml:space="preserve">był </w:t>
      </w:r>
      <w:r w:rsidR="00423029">
        <w:rPr>
          <w:rFonts w:cs="Times New Roman"/>
          <w:sz w:val="22"/>
          <w:szCs w:val="22"/>
        </w:rPr>
        <w:t>do podjęcia kroków</w:t>
      </w:r>
      <w:r w:rsidR="0011016C">
        <w:rPr>
          <w:rFonts w:cs="Times New Roman"/>
          <w:sz w:val="22"/>
          <w:szCs w:val="22"/>
        </w:rPr>
        <w:t xml:space="preserve"> zmierzających</w:t>
      </w:r>
      <w:r w:rsidR="00423029">
        <w:rPr>
          <w:rFonts w:cs="Times New Roman"/>
          <w:sz w:val="22"/>
          <w:szCs w:val="22"/>
        </w:rPr>
        <w:t xml:space="preserve"> do zabezpieczenia niezbędnych sum pieniężnych.</w:t>
      </w:r>
      <w:r w:rsidR="00247A01">
        <w:rPr>
          <w:rFonts w:cs="Times New Roman"/>
          <w:sz w:val="22"/>
          <w:szCs w:val="22"/>
        </w:rPr>
        <w:tab/>
      </w:r>
      <w:r w:rsidR="00E9456F">
        <w:rPr>
          <w:rFonts w:cs="Times New Roman"/>
          <w:sz w:val="22"/>
          <w:szCs w:val="22"/>
        </w:rPr>
        <w:t>Powodem</w:t>
      </w:r>
      <w:r w:rsidR="00247A01">
        <w:rPr>
          <w:rFonts w:cs="Times New Roman"/>
          <w:sz w:val="22"/>
          <w:szCs w:val="22"/>
        </w:rPr>
        <w:t xml:space="preserve"> wystąpienia o kredyt w rachunku bieżącym była potrzeba pokrycia ogólnych kosztów funkcjonowania</w:t>
      </w:r>
      <w:r w:rsidR="00E9456F">
        <w:rPr>
          <w:rFonts w:cs="Times New Roman"/>
          <w:sz w:val="22"/>
          <w:szCs w:val="22"/>
        </w:rPr>
        <w:t xml:space="preserve"> Instytutu. </w:t>
      </w:r>
      <w:r w:rsidR="00815239">
        <w:rPr>
          <w:rFonts w:cs="Times New Roman"/>
          <w:sz w:val="22"/>
          <w:szCs w:val="22"/>
        </w:rPr>
        <w:t xml:space="preserve">Instytut nie jest w stanie określić terminów zaliczkowania </w:t>
      </w:r>
      <w:r w:rsidR="005C710C">
        <w:rPr>
          <w:rFonts w:cs="Times New Roman"/>
          <w:sz w:val="22"/>
          <w:szCs w:val="22"/>
        </w:rPr>
        <w:t>projektów</w:t>
      </w:r>
      <w:r w:rsidR="00815239">
        <w:rPr>
          <w:rFonts w:cs="Times New Roman"/>
          <w:sz w:val="22"/>
          <w:szCs w:val="22"/>
        </w:rPr>
        <w:t xml:space="preserve"> </w:t>
      </w:r>
      <w:r w:rsidR="00E9456F">
        <w:rPr>
          <w:rFonts w:cs="Times New Roman"/>
          <w:sz w:val="22"/>
          <w:szCs w:val="22"/>
        </w:rPr>
        <w:t>w które jest zaangażowany m.in. w ramach PCCS</w:t>
      </w:r>
      <w:r w:rsidR="00815239">
        <w:rPr>
          <w:rFonts w:cs="Times New Roman"/>
          <w:sz w:val="22"/>
          <w:szCs w:val="22"/>
        </w:rPr>
        <w:t>, co stwarza konieczność finansowania ich ze środków uzyskanych w ramach wcześniejszych refundacji wydatków innych projektów. Ponadto, Instytut wyraził potrzebę wsparcia wydatków związanych z wynagrodzeniami personelu oraz opłatami związanymi z utrzymaniem infrastruktury</w:t>
      </w:r>
      <w:r w:rsidR="005C710C">
        <w:rPr>
          <w:rFonts w:cs="Times New Roman"/>
          <w:sz w:val="22"/>
          <w:szCs w:val="22"/>
        </w:rPr>
        <w:t xml:space="preserve">, a także przejściowego </w:t>
      </w:r>
      <w:r w:rsidR="00E25AFE">
        <w:rPr>
          <w:rFonts w:cs="Times New Roman"/>
          <w:sz w:val="22"/>
          <w:szCs w:val="22"/>
        </w:rPr>
        <w:t>sfinansowania kredytem w rachunku bieżącym kwot zatrzymanych w projektach inwestycyjnych.</w:t>
      </w:r>
      <w:r w:rsidR="00EF3E63">
        <w:rPr>
          <w:rFonts w:cs="Times New Roman"/>
          <w:sz w:val="22"/>
          <w:szCs w:val="22"/>
        </w:rPr>
        <w:t xml:space="preserve"> Wszystkie wskazane okoliczności stwarzają konieczność zabezpieczenia środków na pokrycie kosztów związanych z bieżącą działalnością Instytutu. </w:t>
      </w:r>
    </w:p>
    <w:p w14:paraId="13E4D850" w14:textId="7D20DBA7" w:rsidR="00650349" w:rsidRPr="00EF3E63" w:rsidRDefault="00EF3E63" w:rsidP="00243906">
      <w:pPr>
        <w:spacing w:after="0" w:line="276" w:lineRule="auto"/>
        <w:ind w:firstLine="674"/>
        <w:rPr>
          <w:rFonts w:ascii="Bookman Old Style" w:hAnsi="Bookman Old Style"/>
          <w:color w:val="auto"/>
          <w:sz w:val="22"/>
        </w:rPr>
      </w:pPr>
      <w:r w:rsidRPr="00593707">
        <w:rPr>
          <w:rFonts w:ascii="Bookman Old Style" w:hAnsi="Bookman Old Style"/>
          <w:color w:val="auto"/>
          <w:sz w:val="22"/>
        </w:rPr>
        <w:lastRenderedPageBreak/>
        <w:t xml:space="preserve">Wartość </w:t>
      </w:r>
      <w:r>
        <w:rPr>
          <w:rFonts w:ascii="Bookman Old Style" w:hAnsi="Bookman Old Style"/>
          <w:color w:val="auto"/>
          <w:sz w:val="22"/>
        </w:rPr>
        <w:t>rynkowa</w:t>
      </w:r>
      <w:r w:rsidRPr="00593707">
        <w:rPr>
          <w:rFonts w:ascii="Bookman Old Style" w:hAnsi="Bookman Old Style"/>
          <w:color w:val="auto"/>
          <w:sz w:val="22"/>
        </w:rPr>
        <w:t xml:space="preserve"> </w:t>
      </w:r>
      <w:r>
        <w:rPr>
          <w:rFonts w:ascii="Bookman Old Style" w:hAnsi="Bookman Old Style"/>
          <w:color w:val="auto"/>
          <w:sz w:val="22"/>
        </w:rPr>
        <w:t>prawa użytkowania wieczystego nieruchomości gruntowej</w:t>
      </w:r>
      <w:r w:rsidRPr="00593707">
        <w:rPr>
          <w:rFonts w:ascii="Bookman Old Style" w:hAnsi="Bookman Old Style"/>
          <w:color w:val="auto"/>
          <w:sz w:val="22"/>
        </w:rPr>
        <w:t xml:space="preserve"> wymienion</w:t>
      </w:r>
      <w:r>
        <w:rPr>
          <w:rFonts w:ascii="Bookman Old Style" w:hAnsi="Bookman Old Style"/>
          <w:color w:val="auto"/>
          <w:sz w:val="22"/>
        </w:rPr>
        <w:t xml:space="preserve">ej </w:t>
      </w:r>
      <w:r w:rsidRPr="00593707">
        <w:rPr>
          <w:rFonts w:ascii="Bookman Old Style" w:hAnsi="Bookman Old Style"/>
          <w:color w:val="auto"/>
          <w:sz w:val="22"/>
        </w:rPr>
        <w:t>w §</w:t>
      </w:r>
      <w:r>
        <w:rPr>
          <w:rFonts w:ascii="Bookman Old Style" w:hAnsi="Bookman Old Style"/>
          <w:color w:val="auto"/>
          <w:sz w:val="22"/>
        </w:rPr>
        <w:t>1 oraz prawa własności budynku posadowionego na ww.</w:t>
      </w:r>
      <w:r w:rsidR="00E01927">
        <w:rPr>
          <w:rFonts w:ascii="Bookman Old Style" w:hAnsi="Bookman Old Style"/>
          <w:color w:val="auto"/>
          <w:sz w:val="22"/>
        </w:rPr>
        <w:t> </w:t>
      </w:r>
      <w:r>
        <w:rPr>
          <w:rFonts w:ascii="Bookman Old Style" w:hAnsi="Bookman Old Style"/>
          <w:color w:val="auto"/>
          <w:sz w:val="22"/>
        </w:rPr>
        <w:t>nieruchomości wynosi 16.349.000,00 zł (słownie: szesnaście milionów trzysta czterdzieści dziewięć tysięcy złotych). Została ona określona w operacie szacunkowym z dnia 28 lipca 2022 r. sporządzonym przez rzeczoznawcę majątkowego Izabelę Czyżewską (nr uprawnień: 6612).</w:t>
      </w:r>
    </w:p>
    <w:p w14:paraId="4A55309A" w14:textId="0A9C87BE" w:rsidR="00650349" w:rsidRDefault="00650349" w:rsidP="00243906">
      <w:pPr>
        <w:spacing w:after="0" w:line="276" w:lineRule="auto"/>
        <w:ind w:firstLine="708"/>
      </w:pPr>
      <w:r w:rsidRPr="00C93C7C">
        <w:rPr>
          <w:rFonts w:ascii="Bookman Old Style" w:hAnsi="Bookman Old Style"/>
          <w:sz w:val="22"/>
        </w:rPr>
        <w:t xml:space="preserve">Zgodnie z art. 38 ust. 1 </w:t>
      </w:r>
      <w:r>
        <w:rPr>
          <w:rFonts w:ascii="Bookman Old Style" w:hAnsi="Bookman Old Style"/>
          <w:sz w:val="22"/>
        </w:rPr>
        <w:t xml:space="preserve">pkt. </w:t>
      </w:r>
      <w:r w:rsidR="003559EA">
        <w:rPr>
          <w:rFonts w:ascii="Bookman Old Style" w:hAnsi="Bookman Old Style"/>
          <w:sz w:val="22"/>
        </w:rPr>
        <w:t>2</w:t>
      </w:r>
      <w:r>
        <w:rPr>
          <w:rFonts w:ascii="Bookman Old Style" w:hAnsi="Bookman Old Style"/>
          <w:sz w:val="22"/>
        </w:rPr>
        <w:t xml:space="preserve"> </w:t>
      </w:r>
      <w:r w:rsidRPr="00C93C7C">
        <w:rPr>
          <w:rFonts w:ascii="Bookman Old Style" w:hAnsi="Bookman Old Style"/>
          <w:sz w:val="22"/>
        </w:rPr>
        <w:t>ustawy z dnia 16 grudnia 2016 r. o zasadach zarządzania mieniem państwowym (Dz. U. z</w:t>
      </w:r>
      <w:r>
        <w:rPr>
          <w:rFonts w:ascii="Bookman Old Style" w:hAnsi="Bookman Old Style"/>
          <w:sz w:val="22"/>
        </w:rPr>
        <w:t xml:space="preserve"> 2020 r. poz. 735</w:t>
      </w:r>
      <w:r w:rsidRPr="00C93C7C">
        <w:rPr>
          <w:rFonts w:ascii="Bookman Old Style" w:hAnsi="Bookman Old Style"/>
          <w:sz w:val="22"/>
        </w:rPr>
        <w:t>) jeżeli szacunkowa wartość rynkowa przedmiotu czynności prawnej</w:t>
      </w:r>
      <w:r>
        <w:rPr>
          <w:rFonts w:ascii="Bookman Old Style" w:hAnsi="Bookman Old Style"/>
          <w:sz w:val="22"/>
        </w:rPr>
        <w:t xml:space="preserve"> wynosi </w:t>
      </w:r>
      <w:r w:rsidR="00246857">
        <w:rPr>
          <w:rFonts w:ascii="Bookman Old Style" w:hAnsi="Bookman Old Style"/>
          <w:sz w:val="22"/>
        </w:rPr>
        <w:t xml:space="preserve">powyżej </w:t>
      </w:r>
      <w:r>
        <w:rPr>
          <w:rFonts w:ascii="Bookman Old Style" w:hAnsi="Bookman Old Style"/>
          <w:sz w:val="22"/>
        </w:rPr>
        <w:t>5 000 000 zł, jak w</w:t>
      </w:r>
      <w:r w:rsidR="00E01927">
        <w:rPr>
          <w:rFonts w:ascii="Bookman Old Style" w:hAnsi="Bookman Old Style"/>
          <w:sz w:val="22"/>
        </w:rPr>
        <w:t> </w:t>
      </w:r>
      <w:r>
        <w:rPr>
          <w:rFonts w:ascii="Bookman Old Style" w:hAnsi="Bookman Old Style"/>
          <w:sz w:val="22"/>
        </w:rPr>
        <w:t xml:space="preserve">omawianym przypadku, </w:t>
      </w:r>
      <w:r w:rsidRPr="00C93C7C">
        <w:rPr>
          <w:rFonts w:ascii="Bookman Old Style" w:hAnsi="Bookman Old Style"/>
          <w:sz w:val="22"/>
        </w:rPr>
        <w:t>czynność prawna wymaga</w:t>
      </w:r>
      <w:r>
        <w:rPr>
          <w:rFonts w:ascii="Bookman Old Style" w:hAnsi="Bookman Old Style"/>
          <w:sz w:val="22"/>
        </w:rPr>
        <w:t xml:space="preserve"> </w:t>
      </w:r>
      <w:r w:rsidRPr="00C93C7C">
        <w:rPr>
          <w:rFonts w:ascii="Bookman Old Style" w:hAnsi="Bookman Old Style"/>
          <w:sz w:val="22"/>
        </w:rPr>
        <w:t xml:space="preserve">uzyskania zgody </w:t>
      </w:r>
      <w:r w:rsidR="00246857">
        <w:rPr>
          <w:rFonts w:ascii="Bookman Old Style" w:hAnsi="Bookman Old Style"/>
          <w:sz w:val="22"/>
        </w:rPr>
        <w:t>Prokuratorii Generalnej R</w:t>
      </w:r>
      <w:r w:rsidR="003559EA">
        <w:rPr>
          <w:rFonts w:ascii="Bookman Old Style" w:hAnsi="Bookman Old Style"/>
          <w:sz w:val="22"/>
        </w:rPr>
        <w:t xml:space="preserve">zeczypospolitej </w:t>
      </w:r>
      <w:r w:rsidR="00246857">
        <w:rPr>
          <w:rFonts w:ascii="Bookman Old Style" w:hAnsi="Bookman Old Style"/>
          <w:sz w:val="22"/>
        </w:rPr>
        <w:t>P</w:t>
      </w:r>
      <w:r w:rsidR="003559EA">
        <w:rPr>
          <w:rFonts w:ascii="Bookman Old Style" w:hAnsi="Bookman Old Style"/>
          <w:sz w:val="22"/>
        </w:rPr>
        <w:t>olskiej</w:t>
      </w:r>
      <w:r>
        <w:rPr>
          <w:rFonts w:ascii="Bookman Old Style" w:hAnsi="Bookman Old Style"/>
          <w:sz w:val="22"/>
        </w:rPr>
        <w:t>.</w:t>
      </w:r>
    </w:p>
    <w:p w14:paraId="57A404B3" w14:textId="77777777" w:rsidR="00650349" w:rsidRPr="00E10AFF" w:rsidRDefault="00650349" w:rsidP="00EF3E63">
      <w:pPr>
        <w:pStyle w:val="Teksttreci20"/>
        <w:shd w:val="clear" w:color="auto" w:fill="auto"/>
        <w:spacing w:before="0" w:after="0" w:line="360" w:lineRule="auto"/>
        <w:ind w:firstLine="0"/>
        <w:rPr>
          <w:rFonts w:cs="Times New Roman"/>
          <w:sz w:val="22"/>
          <w:szCs w:val="22"/>
        </w:rPr>
      </w:pPr>
    </w:p>
    <w:p w14:paraId="1DE08055" w14:textId="3F3C5886" w:rsidR="00F01BF5" w:rsidRPr="00F01BF5" w:rsidRDefault="00F01BF5" w:rsidP="00EF3E63">
      <w:pPr>
        <w:spacing w:after="0" w:line="360" w:lineRule="auto"/>
        <w:rPr>
          <w:rFonts w:ascii="Bookman Old Style" w:hAnsi="Bookman Old Style"/>
          <w:sz w:val="22"/>
        </w:rPr>
      </w:pPr>
    </w:p>
    <w:sectPr w:rsidR="00F01BF5" w:rsidRPr="00F01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4665A"/>
    <w:multiLevelType w:val="hybridMultilevel"/>
    <w:tmpl w:val="EF1A4C9A"/>
    <w:lvl w:ilvl="0" w:tplc="1C9269C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186A3F"/>
    <w:multiLevelType w:val="hybridMultilevel"/>
    <w:tmpl w:val="66F684A8"/>
    <w:lvl w:ilvl="0" w:tplc="B9242A0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23128734">
    <w:abstractNumId w:val="1"/>
  </w:num>
  <w:num w:numId="2" w16cid:durableId="2007783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ED4"/>
    <w:rsid w:val="0002546B"/>
    <w:rsid w:val="0003210C"/>
    <w:rsid w:val="000E530A"/>
    <w:rsid w:val="0011016C"/>
    <w:rsid w:val="00111E16"/>
    <w:rsid w:val="0013759B"/>
    <w:rsid w:val="001536DA"/>
    <w:rsid w:val="001F1FA2"/>
    <w:rsid w:val="00243906"/>
    <w:rsid w:val="00246857"/>
    <w:rsid w:val="00247A01"/>
    <w:rsid w:val="00254ED9"/>
    <w:rsid w:val="002703B0"/>
    <w:rsid w:val="002C1612"/>
    <w:rsid w:val="003249C6"/>
    <w:rsid w:val="003559EA"/>
    <w:rsid w:val="00375023"/>
    <w:rsid w:val="0037752E"/>
    <w:rsid w:val="003A321A"/>
    <w:rsid w:val="00415F2B"/>
    <w:rsid w:val="00423029"/>
    <w:rsid w:val="0044098E"/>
    <w:rsid w:val="004A0C59"/>
    <w:rsid w:val="00542BA9"/>
    <w:rsid w:val="005C710C"/>
    <w:rsid w:val="006141ED"/>
    <w:rsid w:val="00650349"/>
    <w:rsid w:val="006B7FE3"/>
    <w:rsid w:val="00724135"/>
    <w:rsid w:val="007566B8"/>
    <w:rsid w:val="00815239"/>
    <w:rsid w:val="00872AA2"/>
    <w:rsid w:val="008A05F8"/>
    <w:rsid w:val="008A48C6"/>
    <w:rsid w:val="008C5274"/>
    <w:rsid w:val="00900AB6"/>
    <w:rsid w:val="00922E26"/>
    <w:rsid w:val="009277C7"/>
    <w:rsid w:val="00963045"/>
    <w:rsid w:val="00964D7C"/>
    <w:rsid w:val="00986BFE"/>
    <w:rsid w:val="00990136"/>
    <w:rsid w:val="009D311F"/>
    <w:rsid w:val="00A60E91"/>
    <w:rsid w:val="00AE60AD"/>
    <w:rsid w:val="00AF37DE"/>
    <w:rsid w:val="00AF7ED4"/>
    <w:rsid w:val="00B250F2"/>
    <w:rsid w:val="00B528C0"/>
    <w:rsid w:val="00B73061"/>
    <w:rsid w:val="00B802C1"/>
    <w:rsid w:val="00B910BF"/>
    <w:rsid w:val="00BA7259"/>
    <w:rsid w:val="00BD531E"/>
    <w:rsid w:val="00BF3797"/>
    <w:rsid w:val="00C97669"/>
    <w:rsid w:val="00CE0C8E"/>
    <w:rsid w:val="00D14DB7"/>
    <w:rsid w:val="00D22BB8"/>
    <w:rsid w:val="00D34727"/>
    <w:rsid w:val="00D755AA"/>
    <w:rsid w:val="00D97DA5"/>
    <w:rsid w:val="00DB37B1"/>
    <w:rsid w:val="00DF7B13"/>
    <w:rsid w:val="00E01927"/>
    <w:rsid w:val="00E10AFF"/>
    <w:rsid w:val="00E25AFE"/>
    <w:rsid w:val="00E73364"/>
    <w:rsid w:val="00E9456F"/>
    <w:rsid w:val="00EF3E63"/>
    <w:rsid w:val="00F01BF5"/>
    <w:rsid w:val="00F1569E"/>
    <w:rsid w:val="00F56B28"/>
    <w:rsid w:val="00F82AC0"/>
    <w:rsid w:val="00F8547C"/>
    <w:rsid w:val="00FF2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E6587"/>
  <w15:chartTrackingRefBased/>
  <w15:docId w15:val="{FF0F8F79-F234-4B56-A362-F19E99BF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3797"/>
    <w:pPr>
      <w:spacing w:after="3" w:line="268" w:lineRule="auto"/>
      <w:ind w:left="34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D311F"/>
    <w:rPr>
      <w:rFonts w:ascii="Bookman Old Style" w:hAnsi="Bookman Old Style" w:cs="Bookman Old Style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D311F"/>
    <w:pPr>
      <w:widowControl w:val="0"/>
      <w:shd w:val="clear" w:color="auto" w:fill="FFFFFF"/>
      <w:spacing w:before="360" w:after="300" w:line="293" w:lineRule="exact"/>
      <w:ind w:left="0" w:hanging="340"/>
    </w:pPr>
    <w:rPr>
      <w:rFonts w:ascii="Bookman Old Style" w:eastAsiaTheme="minorHAnsi" w:hAnsi="Bookman Old Style" w:cs="Bookman Old Style"/>
      <w:color w:val="auto"/>
      <w:sz w:val="20"/>
      <w:szCs w:val="20"/>
      <w:lang w:eastAsia="en-US"/>
    </w:rPr>
  </w:style>
  <w:style w:type="character" w:customStyle="1" w:styleId="Nagwek1">
    <w:name w:val="Nagłówek #1"/>
    <w:basedOn w:val="Domylnaczcionkaakapitu"/>
    <w:uiPriority w:val="99"/>
    <w:rsid w:val="00D97DA5"/>
    <w:rPr>
      <w:rFonts w:ascii="Bookman Old Style" w:hAnsi="Bookman Old Style" w:cs="Bookman Old Style"/>
      <w:b/>
      <w:bCs/>
      <w:color w:val="000000"/>
      <w:spacing w:val="0"/>
      <w:w w:val="100"/>
      <w:position w:val="0"/>
      <w:sz w:val="22"/>
      <w:szCs w:val="22"/>
      <w:u w:val="none"/>
      <w:lang w:val="pl-PL" w:eastAsia="pl-PL"/>
    </w:rPr>
  </w:style>
  <w:style w:type="character" w:customStyle="1" w:styleId="Teksttreci310pt">
    <w:name w:val="Tekst treści (3) + 10 pt"/>
    <w:aliases w:val="Bez pogrubienia"/>
    <w:basedOn w:val="Domylnaczcionkaakapitu"/>
    <w:uiPriority w:val="99"/>
    <w:rsid w:val="00D97DA5"/>
    <w:rPr>
      <w:rFonts w:ascii="Bookman Old Style" w:hAnsi="Bookman Old Style" w:cs="Bookman Old Style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83D078-FC61-4D35-8B58-B5D5003C05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007188-DADC-4D95-8FD8-9F053D43D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859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Starczewska Malwina</dc:creator>
  <cp:keywords/>
  <dc:description/>
  <cp:lastModifiedBy>Zięba-Andrzejuk Elżbieta</cp:lastModifiedBy>
  <cp:revision>11</cp:revision>
  <cp:lastPrinted>2022-09-05T06:19:00Z</cp:lastPrinted>
  <dcterms:created xsi:type="dcterms:W3CDTF">2022-09-05T08:32:00Z</dcterms:created>
  <dcterms:modified xsi:type="dcterms:W3CDTF">2022-09-20T14:06:00Z</dcterms:modified>
</cp:coreProperties>
</file>