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86AFA" w14:textId="22D063F2" w:rsidR="00C46B14" w:rsidRPr="00C46B14" w:rsidRDefault="00D10F31" w:rsidP="00C70B62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4269C1">
        <w:t>NR 1</w:t>
      </w:r>
      <w:r w:rsidR="00B50DA2">
        <w:t>1</w:t>
      </w:r>
      <w:r>
        <w:br/>
      </w:r>
      <w:r w:rsidR="00C46B14">
        <w:t>Zasady ewidencjonowania rzeczowych składników majątku</w:t>
      </w:r>
      <w:r w:rsidR="00221C0F">
        <w:br/>
      </w:r>
      <w:r w:rsidR="00C46B14">
        <w:t xml:space="preserve"> oraz wartości niematerialnych i prawnych</w:t>
      </w:r>
    </w:p>
    <w:p w14:paraId="3D759BC5" w14:textId="77777777" w:rsidR="008E409C" w:rsidRDefault="008E409C" w:rsidP="008E409C">
      <w:pPr>
        <w:pStyle w:val="Tekstpodstawowy"/>
        <w:tabs>
          <w:tab w:val="num" w:pos="1571"/>
        </w:tabs>
        <w:spacing w:line="360" w:lineRule="auto"/>
        <w:jc w:val="both"/>
        <w:rPr>
          <w:color w:val="000000"/>
          <w:szCs w:val="24"/>
        </w:rPr>
      </w:pPr>
    </w:p>
    <w:p w14:paraId="5F553442" w14:textId="2FF7222C" w:rsidR="000F54EC" w:rsidRDefault="000F54EC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Polska Akademia Nauk stosuje następujące zasady ewidencjonowania środków trwałych oraz wartości niematerialnych i prawnych:</w:t>
      </w:r>
    </w:p>
    <w:p w14:paraId="2F160DAD" w14:textId="242559FA" w:rsidR="00680768" w:rsidRPr="007979D3" w:rsidRDefault="00AB3033" w:rsidP="00BB23C8">
      <w:pPr>
        <w:pStyle w:val="Tekstpodstawowy"/>
        <w:numPr>
          <w:ilvl w:val="1"/>
          <w:numId w:val="1"/>
        </w:numPr>
        <w:spacing w:line="360" w:lineRule="auto"/>
        <w:jc w:val="both"/>
        <w:rPr>
          <w:color w:val="000000"/>
          <w:szCs w:val="24"/>
        </w:rPr>
      </w:pPr>
      <w:r w:rsidRPr="007979D3">
        <w:rPr>
          <w:color w:val="000000"/>
          <w:szCs w:val="24"/>
        </w:rPr>
        <w:t>s</w:t>
      </w:r>
      <w:r w:rsidR="00680768" w:rsidRPr="007979D3">
        <w:rPr>
          <w:color w:val="000000"/>
          <w:szCs w:val="24"/>
        </w:rPr>
        <w:t>kładniki z grupy 0</w:t>
      </w:r>
      <w:r w:rsidRPr="007979D3">
        <w:rPr>
          <w:color w:val="000000"/>
          <w:szCs w:val="24"/>
        </w:rPr>
        <w:t xml:space="preserve"> według KŚT wprowadza się do ksiąg rachunkowych</w:t>
      </w:r>
      <w:r w:rsidR="00680768" w:rsidRPr="007979D3">
        <w:rPr>
          <w:color w:val="000000"/>
          <w:szCs w:val="24"/>
        </w:rPr>
        <w:t xml:space="preserve"> </w:t>
      </w:r>
      <w:r w:rsidR="0075662E" w:rsidRPr="007979D3">
        <w:rPr>
          <w:color w:val="000000"/>
          <w:szCs w:val="24"/>
        </w:rPr>
        <w:t xml:space="preserve">jako środki trwałe do ewidencji ilościowo-wartościowej </w:t>
      </w:r>
      <w:r w:rsidRPr="007979D3">
        <w:rPr>
          <w:color w:val="000000"/>
          <w:szCs w:val="24"/>
        </w:rPr>
        <w:t>niezależnie</w:t>
      </w:r>
      <w:r w:rsidR="00680768" w:rsidRPr="007979D3">
        <w:rPr>
          <w:color w:val="000000"/>
          <w:szCs w:val="24"/>
        </w:rPr>
        <w:t xml:space="preserve"> od </w:t>
      </w:r>
      <w:r w:rsidR="0075662E" w:rsidRPr="007979D3">
        <w:rPr>
          <w:color w:val="000000"/>
          <w:szCs w:val="24"/>
        </w:rPr>
        <w:t>ich wartości początkowej</w:t>
      </w:r>
      <w:r w:rsidR="00C70B62" w:rsidRPr="007979D3">
        <w:rPr>
          <w:color w:val="000000"/>
          <w:szCs w:val="24"/>
        </w:rPr>
        <w:t>;</w:t>
      </w:r>
      <w:r w:rsidR="0075662E" w:rsidRPr="007979D3">
        <w:rPr>
          <w:color w:val="000000"/>
          <w:szCs w:val="24"/>
        </w:rPr>
        <w:t xml:space="preserve"> </w:t>
      </w:r>
      <w:r w:rsidR="00C70B62" w:rsidRPr="007979D3">
        <w:rPr>
          <w:color w:val="000000"/>
          <w:szCs w:val="24"/>
        </w:rPr>
        <w:t xml:space="preserve">grunty będące w użytkowaniu wieczystym umarzane są liniowo według stawki wynikającej z załącznika nr 11; szczegółowa ewidencja gruntów prowadzona jest w </w:t>
      </w:r>
      <w:r w:rsidR="00520D2C" w:rsidRPr="007979D3">
        <w:rPr>
          <w:color w:val="000000"/>
          <w:szCs w:val="24"/>
        </w:rPr>
        <w:t>b</w:t>
      </w:r>
      <w:r w:rsidR="00C70B62" w:rsidRPr="007979D3">
        <w:rPr>
          <w:color w:val="000000"/>
          <w:szCs w:val="24"/>
        </w:rPr>
        <w:t xml:space="preserve">iurze </w:t>
      </w:r>
      <w:r w:rsidR="00520D2C" w:rsidRPr="007979D3">
        <w:rPr>
          <w:color w:val="000000"/>
          <w:szCs w:val="24"/>
        </w:rPr>
        <w:t>ds. majątkowych</w:t>
      </w:r>
      <w:r w:rsidR="00C70B62" w:rsidRPr="007979D3">
        <w:rPr>
          <w:color w:val="000000"/>
          <w:szCs w:val="24"/>
        </w:rPr>
        <w:t>;</w:t>
      </w:r>
    </w:p>
    <w:p w14:paraId="1E7284FE" w14:textId="5C18337B" w:rsidR="0093370D" w:rsidRPr="00B831B1" w:rsidRDefault="00BF70B8" w:rsidP="00BB23C8">
      <w:pPr>
        <w:pStyle w:val="Tekstpodstawowy"/>
        <w:numPr>
          <w:ilvl w:val="1"/>
          <w:numId w:val="1"/>
        </w:numPr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składniki </w:t>
      </w:r>
      <w:r w:rsidR="00680768">
        <w:rPr>
          <w:color w:val="000000"/>
          <w:szCs w:val="24"/>
        </w:rPr>
        <w:t>z grupy 1</w:t>
      </w:r>
      <w:r w:rsidR="00715A12">
        <w:rPr>
          <w:color w:val="000000"/>
          <w:szCs w:val="24"/>
        </w:rPr>
        <w:t xml:space="preserve"> do </w:t>
      </w:r>
      <w:r w:rsidR="00680768">
        <w:rPr>
          <w:color w:val="000000"/>
          <w:szCs w:val="24"/>
        </w:rPr>
        <w:t xml:space="preserve">8 </w:t>
      </w:r>
      <w:r w:rsidR="0075662E">
        <w:rPr>
          <w:color w:val="000000"/>
          <w:szCs w:val="24"/>
        </w:rPr>
        <w:t xml:space="preserve">według KŚT </w:t>
      </w:r>
      <w:r w:rsidR="00680768">
        <w:rPr>
          <w:color w:val="000000"/>
          <w:szCs w:val="24"/>
        </w:rPr>
        <w:t xml:space="preserve">o </w:t>
      </w:r>
      <w:r w:rsidR="0093370D" w:rsidRPr="00BB23C8">
        <w:rPr>
          <w:color w:val="000000"/>
          <w:szCs w:val="24"/>
        </w:rPr>
        <w:t xml:space="preserve">wartości </w:t>
      </w:r>
      <w:r w:rsidR="0075662E">
        <w:rPr>
          <w:color w:val="000000"/>
          <w:szCs w:val="24"/>
        </w:rPr>
        <w:t xml:space="preserve">początkowej </w:t>
      </w:r>
      <w:r w:rsidR="0093370D" w:rsidRPr="00BB23C8">
        <w:rPr>
          <w:color w:val="000000"/>
          <w:szCs w:val="24"/>
        </w:rPr>
        <w:t>wyższej niż 10.000 zł i okresie użytkowania dłuższym niż rok</w:t>
      </w:r>
      <w:r w:rsidR="000F54EC">
        <w:rPr>
          <w:color w:val="000000"/>
          <w:szCs w:val="24"/>
        </w:rPr>
        <w:t xml:space="preserve"> – przyjmowane są jako środki trwałe do </w:t>
      </w:r>
      <w:r w:rsidR="0093370D" w:rsidRPr="00BB23C8">
        <w:rPr>
          <w:color w:val="000000"/>
          <w:szCs w:val="24"/>
        </w:rPr>
        <w:t>ewidencj</w:t>
      </w:r>
      <w:r w:rsidR="000F54EC">
        <w:rPr>
          <w:color w:val="000000"/>
          <w:szCs w:val="24"/>
        </w:rPr>
        <w:t xml:space="preserve">i </w:t>
      </w:r>
      <w:r w:rsidR="0093370D" w:rsidRPr="00BB23C8">
        <w:rPr>
          <w:color w:val="000000"/>
          <w:szCs w:val="24"/>
        </w:rPr>
        <w:t>ilościowo-wartościow</w:t>
      </w:r>
      <w:r w:rsidR="000F54EC">
        <w:rPr>
          <w:color w:val="000000"/>
          <w:szCs w:val="24"/>
        </w:rPr>
        <w:t xml:space="preserve">ej i </w:t>
      </w:r>
      <w:r w:rsidR="000F54EC" w:rsidRPr="00856596">
        <w:rPr>
          <w:color w:val="000000"/>
          <w:szCs w:val="24"/>
        </w:rPr>
        <w:t xml:space="preserve">umarzane </w:t>
      </w:r>
      <w:r w:rsidR="000F54EC" w:rsidRPr="00B831B1">
        <w:rPr>
          <w:color w:val="000000"/>
          <w:szCs w:val="24"/>
        </w:rPr>
        <w:t>liniowo według stawki wynikającej z Załącznika nr 11</w:t>
      </w:r>
      <w:r w:rsidR="00BB23C8" w:rsidRPr="00B831B1">
        <w:rPr>
          <w:color w:val="000000"/>
          <w:szCs w:val="24"/>
        </w:rPr>
        <w:t>;</w:t>
      </w:r>
      <w:r w:rsidR="0075662E" w:rsidRPr="00B831B1">
        <w:rPr>
          <w:color w:val="000000"/>
          <w:szCs w:val="24"/>
        </w:rPr>
        <w:t xml:space="preserve"> szczegółowa ewidencja nieruchomości z grup</w:t>
      </w:r>
      <w:r w:rsidR="00970568" w:rsidRPr="00B831B1">
        <w:rPr>
          <w:color w:val="000000"/>
          <w:szCs w:val="24"/>
        </w:rPr>
        <w:t>y</w:t>
      </w:r>
      <w:r w:rsidR="0075662E" w:rsidRPr="00B831B1">
        <w:rPr>
          <w:color w:val="000000"/>
          <w:szCs w:val="24"/>
        </w:rPr>
        <w:t xml:space="preserve"> 1</w:t>
      </w:r>
      <w:r w:rsidR="00E953B0">
        <w:rPr>
          <w:color w:val="000000"/>
          <w:szCs w:val="24"/>
        </w:rPr>
        <w:t xml:space="preserve">, oraz nadzór nad grupą 2 </w:t>
      </w:r>
      <w:r w:rsidR="0075662E" w:rsidRPr="00B831B1">
        <w:rPr>
          <w:color w:val="000000"/>
          <w:szCs w:val="24"/>
        </w:rPr>
        <w:t>prowadzona jest</w:t>
      </w:r>
      <w:r w:rsidR="00970568" w:rsidRPr="00B831B1">
        <w:rPr>
          <w:color w:val="000000"/>
          <w:szCs w:val="24"/>
        </w:rPr>
        <w:t xml:space="preserve"> w biurze ds. majątkowych</w:t>
      </w:r>
      <w:r w:rsidR="00B50DA2" w:rsidRPr="00B831B1">
        <w:rPr>
          <w:color w:val="000000"/>
          <w:szCs w:val="24"/>
        </w:rPr>
        <w:t xml:space="preserve">, </w:t>
      </w:r>
      <w:r w:rsidR="00E953B0">
        <w:rPr>
          <w:color w:val="000000"/>
          <w:szCs w:val="24"/>
        </w:rPr>
        <w:t>nadzór nad grupą od 3 – 8 znajduje się dla Kancelarii w Zespole</w:t>
      </w:r>
      <w:r w:rsidR="00B50DA2" w:rsidRPr="00B831B1">
        <w:rPr>
          <w:color w:val="000000"/>
          <w:szCs w:val="24"/>
        </w:rPr>
        <w:t xml:space="preserve"> Gospodarczym</w:t>
      </w:r>
      <w:r w:rsidR="00E953B0">
        <w:rPr>
          <w:color w:val="000000"/>
          <w:szCs w:val="24"/>
        </w:rPr>
        <w:t xml:space="preserve">, a dla jednostek bezosobowości prawnej </w:t>
      </w:r>
      <w:r w:rsidR="00847C89" w:rsidRPr="00B831B1">
        <w:rPr>
          <w:color w:val="000000"/>
          <w:szCs w:val="24"/>
        </w:rPr>
        <w:t>u upoważnionej przez kierownika jednostki osoby</w:t>
      </w:r>
      <w:r w:rsidR="00970568" w:rsidRPr="00B831B1">
        <w:rPr>
          <w:color w:val="000000"/>
          <w:szCs w:val="24"/>
        </w:rPr>
        <w:t>;</w:t>
      </w:r>
    </w:p>
    <w:p w14:paraId="1E3D9007" w14:textId="2DA0B850" w:rsidR="00B50DA2" w:rsidRPr="00B831B1" w:rsidRDefault="00BF70B8" w:rsidP="00FF1C04">
      <w:pPr>
        <w:pStyle w:val="Tekstpodstawowy"/>
        <w:numPr>
          <w:ilvl w:val="1"/>
          <w:numId w:val="1"/>
        </w:numPr>
        <w:tabs>
          <w:tab w:val="num" w:pos="709"/>
        </w:tabs>
        <w:spacing w:line="360" w:lineRule="auto"/>
        <w:jc w:val="both"/>
        <w:rPr>
          <w:color w:val="000000"/>
          <w:szCs w:val="24"/>
        </w:rPr>
      </w:pPr>
      <w:r w:rsidRPr="00B831B1">
        <w:rPr>
          <w:color w:val="000000"/>
          <w:szCs w:val="24"/>
        </w:rPr>
        <w:t>składniki</w:t>
      </w:r>
      <w:r w:rsidR="0075662E" w:rsidRPr="00B831B1">
        <w:rPr>
          <w:color w:val="000000"/>
          <w:szCs w:val="24"/>
        </w:rPr>
        <w:t xml:space="preserve"> z grup </w:t>
      </w:r>
      <w:r w:rsidR="00715A12" w:rsidRPr="00B831B1">
        <w:rPr>
          <w:color w:val="000000"/>
          <w:szCs w:val="24"/>
        </w:rPr>
        <w:t>1</w:t>
      </w:r>
      <w:r w:rsidR="0075662E" w:rsidRPr="00B831B1">
        <w:rPr>
          <w:color w:val="000000"/>
          <w:szCs w:val="24"/>
        </w:rPr>
        <w:t xml:space="preserve"> do 8 według KŚT</w:t>
      </w:r>
      <w:r w:rsidR="0093370D" w:rsidRPr="00B831B1">
        <w:rPr>
          <w:color w:val="000000"/>
          <w:szCs w:val="24"/>
        </w:rPr>
        <w:t xml:space="preserve"> o wartości </w:t>
      </w:r>
      <w:r w:rsidR="0075662E" w:rsidRPr="00B831B1">
        <w:rPr>
          <w:color w:val="000000"/>
          <w:szCs w:val="24"/>
        </w:rPr>
        <w:t xml:space="preserve">początkowej </w:t>
      </w:r>
      <w:r w:rsidR="0093370D" w:rsidRPr="00B831B1">
        <w:rPr>
          <w:color w:val="000000"/>
          <w:szCs w:val="24"/>
        </w:rPr>
        <w:t>niższej niż 10.000 zł i okresie użytkowania dłuższym niż rok</w:t>
      </w:r>
      <w:r w:rsidR="000F54EC" w:rsidRPr="00B831B1">
        <w:rPr>
          <w:color w:val="000000"/>
          <w:szCs w:val="24"/>
        </w:rPr>
        <w:t xml:space="preserve"> </w:t>
      </w:r>
      <w:r w:rsidR="00D355A6" w:rsidRPr="00B831B1">
        <w:rPr>
          <w:color w:val="000000"/>
          <w:szCs w:val="24"/>
        </w:rPr>
        <w:t>–</w:t>
      </w:r>
      <w:r w:rsidR="000F54EC" w:rsidRPr="00B831B1">
        <w:rPr>
          <w:color w:val="000000"/>
          <w:szCs w:val="24"/>
        </w:rPr>
        <w:t xml:space="preserve"> </w:t>
      </w:r>
      <w:r w:rsidR="00D355A6" w:rsidRPr="00B831B1">
        <w:rPr>
          <w:color w:val="000000"/>
          <w:szCs w:val="24"/>
        </w:rPr>
        <w:t>nie są ewidencjonowane jako środki trwałe</w:t>
      </w:r>
      <w:r w:rsidR="00715A12" w:rsidRPr="00B831B1">
        <w:rPr>
          <w:color w:val="000000"/>
          <w:szCs w:val="24"/>
        </w:rPr>
        <w:t xml:space="preserve"> (stanowią wyposażenie)</w:t>
      </w:r>
      <w:r w:rsidR="00D355A6" w:rsidRPr="00B831B1">
        <w:rPr>
          <w:color w:val="000000"/>
          <w:szCs w:val="24"/>
        </w:rPr>
        <w:t>, a ich wartość początkowa ujmowana jest</w:t>
      </w:r>
      <w:r w:rsidR="00C70B62" w:rsidRPr="00B831B1">
        <w:rPr>
          <w:color w:val="000000"/>
          <w:szCs w:val="24"/>
        </w:rPr>
        <w:t xml:space="preserve"> jednorazowo</w:t>
      </w:r>
      <w:r w:rsidR="00D355A6" w:rsidRPr="00B831B1">
        <w:rPr>
          <w:color w:val="000000"/>
          <w:szCs w:val="24"/>
        </w:rPr>
        <w:t xml:space="preserve"> w kosztach materiałów (konto 401</w:t>
      </w:r>
      <w:r w:rsidR="00680768" w:rsidRPr="00B831B1">
        <w:rPr>
          <w:color w:val="000000"/>
          <w:szCs w:val="24"/>
        </w:rPr>
        <w:t>)</w:t>
      </w:r>
      <w:r w:rsidR="0093370D" w:rsidRPr="00B831B1">
        <w:rPr>
          <w:color w:val="000000"/>
          <w:szCs w:val="24"/>
        </w:rPr>
        <w:t xml:space="preserve">, </w:t>
      </w:r>
      <w:r w:rsidR="00D355A6" w:rsidRPr="00B831B1">
        <w:rPr>
          <w:color w:val="000000"/>
          <w:szCs w:val="24"/>
        </w:rPr>
        <w:t xml:space="preserve">z tym, że </w:t>
      </w:r>
      <w:r w:rsidR="00EA696E">
        <w:rPr>
          <w:color w:val="000000"/>
          <w:szCs w:val="24"/>
        </w:rPr>
        <w:t>są ewidencjonowane pozabilansowo</w:t>
      </w:r>
      <w:r w:rsidR="00EA696E" w:rsidRPr="00EA696E">
        <w:rPr>
          <w:color w:val="000000"/>
          <w:szCs w:val="24"/>
        </w:rPr>
        <w:t xml:space="preserve"> </w:t>
      </w:r>
      <w:r w:rsidR="00EA696E">
        <w:rPr>
          <w:color w:val="000000"/>
          <w:szCs w:val="24"/>
        </w:rPr>
        <w:t>dla Kancelarii</w:t>
      </w:r>
      <w:r w:rsidR="009802EF">
        <w:rPr>
          <w:color w:val="000000"/>
          <w:szCs w:val="24"/>
        </w:rPr>
        <w:t xml:space="preserve"> </w:t>
      </w:r>
      <w:r w:rsidR="00EA696E">
        <w:rPr>
          <w:color w:val="000000"/>
          <w:szCs w:val="24"/>
        </w:rPr>
        <w:t>w Zespole</w:t>
      </w:r>
      <w:r w:rsidR="00EA696E" w:rsidRPr="00B831B1">
        <w:rPr>
          <w:color w:val="000000"/>
          <w:szCs w:val="24"/>
        </w:rPr>
        <w:t xml:space="preserve"> Gospodarczym</w:t>
      </w:r>
      <w:r w:rsidR="00EA696E">
        <w:rPr>
          <w:color w:val="000000"/>
          <w:szCs w:val="24"/>
        </w:rPr>
        <w:t xml:space="preserve">, a dla jednostek bezosobowości prawnej </w:t>
      </w:r>
      <w:r w:rsidR="009802EF">
        <w:rPr>
          <w:color w:val="000000"/>
          <w:szCs w:val="24"/>
        </w:rPr>
        <w:t xml:space="preserve">i Oddziałów PAN </w:t>
      </w:r>
      <w:r w:rsidR="00EA696E" w:rsidRPr="00B831B1">
        <w:rPr>
          <w:color w:val="000000"/>
          <w:szCs w:val="24"/>
        </w:rPr>
        <w:t>u upoważnionej przez kierownika jednostki osoby</w:t>
      </w:r>
      <w:r w:rsidR="00B50DA2" w:rsidRPr="00B831B1">
        <w:rPr>
          <w:color w:val="000000"/>
          <w:szCs w:val="24"/>
        </w:rPr>
        <w:t>:</w:t>
      </w:r>
    </w:p>
    <w:p w14:paraId="2E143BE6" w14:textId="77777777" w:rsidR="00077188" w:rsidRDefault="00077188" w:rsidP="00C46B14">
      <w:pPr>
        <w:pStyle w:val="Tekstpodstawowy"/>
        <w:tabs>
          <w:tab w:val="num" w:pos="709"/>
        </w:tabs>
        <w:spacing w:line="360" w:lineRule="auto"/>
        <w:jc w:val="both"/>
        <w:rPr>
          <w:color w:val="000000"/>
          <w:szCs w:val="24"/>
          <w:highlight w:val="yellow"/>
        </w:rPr>
      </w:pPr>
    </w:p>
    <w:p w14:paraId="6D4DBC78" w14:textId="2E6C07DD" w:rsidR="0093370D" w:rsidRDefault="00C46B14" w:rsidP="00C46B14">
      <w:pPr>
        <w:pStyle w:val="Tekstpodstawowy"/>
        <w:tabs>
          <w:tab w:val="num" w:pos="709"/>
        </w:tabs>
        <w:spacing w:line="360" w:lineRule="auto"/>
        <w:jc w:val="both"/>
        <w:rPr>
          <w:color w:val="000000"/>
          <w:szCs w:val="24"/>
        </w:rPr>
      </w:pPr>
      <w:r w:rsidRPr="00680768">
        <w:rPr>
          <w:color w:val="000000"/>
          <w:szCs w:val="24"/>
        </w:rPr>
        <w:t xml:space="preserve">Gospodarowanie majątkiem ruchomym PAN odbywa się zgodnie z </w:t>
      </w:r>
      <w:r w:rsidR="00680768" w:rsidRPr="00680768">
        <w:rPr>
          <w:color w:val="000000"/>
          <w:szCs w:val="24"/>
        </w:rPr>
        <w:t xml:space="preserve">obowiązującym </w:t>
      </w:r>
      <w:r w:rsidRPr="00680768">
        <w:rPr>
          <w:color w:val="000000"/>
          <w:szCs w:val="24"/>
        </w:rPr>
        <w:t xml:space="preserve">zarządzeniem Kanclerza. </w:t>
      </w:r>
    </w:p>
    <w:p w14:paraId="1C0482BD" w14:textId="77777777" w:rsidR="00077188" w:rsidRDefault="00077188" w:rsidP="00077188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239B762D" w14:textId="3DDCF0D5" w:rsidR="00077188" w:rsidRDefault="00077188" w:rsidP="00077188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Zbiory muzealne, archiwalne i biblioteczne są wprowadzane jako środki trwałe bez względu na ich wartość </w:t>
      </w:r>
      <w:r w:rsidRPr="00032553">
        <w:rPr>
          <w:color w:val="000000"/>
          <w:szCs w:val="24"/>
        </w:rPr>
        <w:t xml:space="preserve">początkową. </w:t>
      </w:r>
      <w:r w:rsidR="00BF70B8" w:rsidRPr="00032553">
        <w:rPr>
          <w:color w:val="000000"/>
          <w:szCs w:val="24"/>
        </w:rPr>
        <w:t>Wartość początkowa zbiorów archiwalnych i muzealnych nie podlega umorzeniu.</w:t>
      </w:r>
      <w:r w:rsidR="00BF70B8">
        <w:rPr>
          <w:color w:val="000000"/>
          <w:szCs w:val="24"/>
        </w:rPr>
        <w:t xml:space="preserve"> </w:t>
      </w:r>
    </w:p>
    <w:p w14:paraId="6F7F5129" w14:textId="77777777" w:rsidR="00F72077" w:rsidRDefault="00F72077" w:rsidP="0093370D">
      <w:pPr>
        <w:pStyle w:val="Tekstpodstawowy"/>
        <w:tabs>
          <w:tab w:val="num" w:pos="3011"/>
        </w:tabs>
        <w:spacing w:line="360" w:lineRule="auto"/>
        <w:jc w:val="both"/>
      </w:pPr>
    </w:p>
    <w:p w14:paraId="5A442CBF" w14:textId="36C77A54" w:rsidR="0093370D" w:rsidRDefault="0093370D" w:rsidP="0093370D">
      <w:pPr>
        <w:pStyle w:val="Tekstpodstawowy"/>
        <w:tabs>
          <w:tab w:val="num" w:pos="3011"/>
        </w:tabs>
        <w:spacing w:line="360" w:lineRule="auto"/>
        <w:jc w:val="both"/>
      </w:pPr>
      <w:r w:rsidRPr="00356E53">
        <w:t>Do ewidencji księgowej wartości niematerialnych i prawnych stosuje się odpowiednio ewidencję księgową dotyczącą środków trwałych</w:t>
      </w:r>
      <w:r w:rsidR="002833C9" w:rsidRPr="00356E53">
        <w:t>, tj</w:t>
      </w:r>
      <w:r w:rsidR="008616FB" w:rsidRPr="00356E53">
        <w:t>.</w:t>
      </w:r>
      <w:r w:rsidR="002833C9" w:rsidRPr="00356E53">
        <w:t xml:space="preserve"> wartości niematerialne i prawne </w:t>
      </w:r>
      <w:r w:rsidR="008616FB" w:rsidRPr="00356E53">
        <w:t xml:space="preserve">o </w:t>
      </w:r>
      <w:r w:rsidR="008616FB" w:rsidRPr="00356E53">
        <w:lastRenderedPageBreak/>
        <w:t>wartości wyższej niż 10.000 zł wprowadza się do ewidencji bilansowej i umarza liniowo zgodnie z Załącznikiem nr 11, a pozostałe składniki odpisuje w ciężar kosztów jednorazowo w chwili ich nabycia</w:t>
      </w:r>
      <w:r w:rsidRPr="00356E53">
        <w:t>.</w:t>
      </w:r>
    </w:p>
    <w:p w14:paraId="35D6FD7D" w14:textId="77777777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898455A" w14:textId="664B2D23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Przy ustalaniu wartości początkowej środka trwałego lub wartości niematerialnej i prawnej uwzględnia się kwoty brutto, i ile nabycie tego składnika majątku następuje z dotacji, a w przypadku nabycia składnika majątku z dochodów własnych - przyjmuje się kwoty netto. </w:t>
      </w:r>
    </w:p>
    <w:p w14:paraId="2E3FFE90" w14:textId="77777777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53290D37" w14:textId="18A8A395" w:rsidR="008616FB" w:rsidRDefault="00077188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 w:rsidRPr="00356E53">
        <w:rPr>
          <w:color w:val="000000"/>
          <w:szCs w:val="24"/>
        </w:rPr>
        <w:t xml:space="preserve">Wartość początkowa środka trwałego może ulec zmianie w przypadku jego ulepszenia. Przez ulepszenie rozumie się </w:t>
      </w:r>
      <w:r w:rsidR="00B46E21" w:rsidRPr="00356E53">
        <w:rPr>
          <w:color w:val="000000"/>
          <w:szCs w:val="24"/>
        </w:rPr>
        <w:t>działania których skutkiem jest podniesienie wartości środka trwałego np. poprzez przebudowę</w:t>
      </w:r>
      <w:r w:rsidR="0054049B" w:rsidRPr="00356E53">
        <w:rPr>
          <w:rStyle w:val="Odwoanieprzypisudolnego"/>
          <w:color w:val="000000"/>
          <w:szCs w:val="24"/>
        </w:rPr>
        <w:footnoteReference w:id="1"/>
      </w:r>
      <w:r w:rsidR="00B46E21" w:rsidRPr="00356E53">
        <w:rPr>
          <w:color w:val="000000"/>
          <w:szCs w:val="24"/>
        </w:rPr>
        <w:t>, rozbudowę</w:t>
      </w:r>
      <w:r w:rsidR="000C6DF1" w:rsidRPr="00356E53">
        <w:rPr>
          <w:rStyle w:val="Odwoanieprzypisudolnego"/>
          <w:color w:val="000000"/>
          <w:szCs w:val="24"/>
        </w:rPr>
        <w:footnoteReference w:id="2"/>
      </w:r>
      <w:r w:rsidR="00B46E21" w:rsidRPr="00356E53">
        <w:rPr>
          <w:color w:val="000000"/>
          <w:szCs w:val="24"/>
        </w:rPr>
        <w:t>, modernizację</w:t>
      </w:r>
      <w:r w:rsidR="000C6DF1" w:rsidRPr="00356E53">
        <w:rPr>
          <w:rStyle w:val="Odwoanieprzypisudolnego"/>
          <w:color w:val="000000"/>
          <w:szCs w:val="24"/>
        </w:rPr>
        <w:footnoteReference w:id="3"/>
      </w:r>
      <w:r w:rsidR="00B46E21" w:rsidRPr="00356E53">
        <w:rPr>
          <w:color w:val="000000"/>
          <w:szCs w:val="24"/>
        </w:rPr>
        <w:t xml:space="preserve"> lub rekonstrukcję</w:t>
      </w:r>
      <w:r w:rsidR="000C6DF1" w:rsidRPr="00356E53">
        <w:rPr>
          <w:rStyle w:val="Odwoanieprzypisudolnego"/>
          <w:color w:val="000000"/>
          <w:szCs w:val="24"/>
        </w:rPr>
        <w:footnoteReference w:id="4"/>
      </w:r>
      <w:r w:rsidR="00B46E21" w:rsidRPr="00356E53">
        <w:rPr>
          <w:color w:val="000000"/>
          <w:szCs w:val="24"/>
        </w:rPr>
        <w:t xml:space="preserve"> obiektu. Oznacza to, iż w wyniku tych prac można oczekiwać wzrostu wartości użytkowej obiektu w stosunku do jego wartości </w:t>
      </w:r>
      <w:r w:rsidR="000C6DF1" w:rsidRPr="00356E53">
        <w:rPr>
          <w:color w:val="000000"/>
          <w:szCs w:val="24"/>
        </w:rPr>
        <w:t>posiadanej poprzednio (przed dokonaniem nakładów)</w:t>
      </w:r>
      <w:r w:rsidR="00B46E21" w:rsidRPr="00356E53">
        <w:rPr>
          <w:color w:val="000000"/>
          <w:szCs w:val="24"/>
        </w:rPr>
        <w:t>. W przypadku, gdy nakłady na ulepszenie obiektu są w skali roku niższe niż 10.000 zł (istotna wartoś</w:t>
      </w:r>
      <w:r w:rsidR="000C6DF1" w:rsidRPr="00356E53">
        <w:rPr>
          <w:color w:val="000000"/>
          <w:szCs w:val="24"/>
        </w:rPr>
        <w:t>ć</w:t>
      </w:r>
      <w:r w:rsidR="00B46E21" w:rsidRPr="00356E53">
        <w:rPr>
          <w:color w:val="000000"/>
          <w:szCs w:val="24"/>
        </w:rPr>
        <w:t xml:space="preserve"> początkow</w:t>
      </w:r>
      <w:r w:rsidR="00356E53" w:rsidRPr="00356E53">
        <w:rPr>
          <w:color w:val="000000"/>
          <w:szCs w:val="24"/>
        </w:rPr>
        <w:t>a</w:t>
      </w:r>
      <w:r w:rsidR="00B46E21" w:rsidRPr="00356E53">
        <w:rPr>
          <w:color w:val="000000"/>
          <w:szCs w:val="24"/>
        </w:rPr>
        <w:t xml:space="preserve"> środka trwałego), wydatki te stanowią koszty bieżącej działalności</w:t>
      </w:r>
      <w:r w:rsidR="000C6DF1" w:rsidRPr="00356E53">
        <w:rPr>
          <w:color w:val="000000"/>
          <w:szCs w:val="24"/>
        </w:rPr>
        <w:t xml:space="preserve"> w miesiącu ich poniesienia</w:t>
      </w:r>
      <w:r w:rsidR="00B46E21" w:rsidRPr="00356E53">
        <w:rPr>
          <w:color w:val="000000"/>
          <w:szCs w:val="24"/>
        </w:rPr>
        <w:t xml:space="preserve">. </w:t>
      </w:r>
      <w:r w:rsidR="00FF682B" w:rsidRPr="00356E53">
        <w:rPr>
          <w:color w:val="000000"/>
          <w:szCs w:val="24"/>
        </w:rPr>
        <w:t xml:space="preserve">Podniesienie wartości początkowej środki trwałego powoduje/może powodować zmianę okresu lub/i stawki amortyzacji. </w:t>
      </w:r>
      <w:r w:rsidR="0054049B" w:rsidRPr="00356E53">
        <w:rPr>
          <w:color w:val="000000"/>
          <w:szCs w:val="24"/>
        </w:rPr>
        <w:t xml:space="preserve">Wydatki związane z bieżącą eksploatacją obiektu np. na konserwację lub remont stanowią koszty bieżącej działalności </w:t>
      </w:r>
      <w:r w:rsidR="000C6DF1" w:rsidRPr="00356E53">
        <w:rPr>
          <w:color w:val="000000"/>
          <w:szCs w:val="24"/>
        </w:rPr>
        <w:t xml:space="preserve">w miesiącu ich poniesienia, </w:t>
      </w:r>
      <w:r w:rsidR="0054049B" w:rsidRPr="00356E53">
        <w:rPr>
          <w:color w:val="000000"/>
          <w:szCs w:val="24"/>
        </w:rPr>
        <w:t>niezależnie od ich wielkości.</w:t>
      </w:r>
      <w:r w:rsidR="00B46E21">
        <w:rPr>
          <w:color w:val="000000"/>
          <w:szCs w:val="24"/>
        </w:rPr>
        <w:t xml:space="preserve">  </w:t>
      </w:r>
    </w:p>
    <w:p w14:paraId="352EF70E" w14:textId="77777777" w:rsidR="0093370D" w:rsidRDefault="0093370D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5211134" w14:textId="1CE777A3" w:rsidR="008E409C" w:rsidRPr="00FB0D74" w:rsidRDefault="008E409C" w:rsidP="008E409C">
      <w:pPr>
        <w:pStyle w:val="Tekstpodstawowy"/>
        <w:tabs>
          <w:tab w:val="num" w:pos="900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Odpisów amortyzacyjnych dokonuje się miesięcznie, od pierwszego dnia miesiąca następującego po miesiącu, w którym środki te przyjęto do użytkowania, do końca miesiąca, w którym następuje zrównanie wysokości umorzenia z ich wartością początkową albo do końca miesiąca, w którym środki trwałe postawiono w stan likwidacji, sprzedano, przekazano </w:t>
      </w:r>
      <w:r w:rsidRPr="00FB0D74">
        <w:rPr>
          <w:color w:val="000000"/>
          <w:szCs w:val="24"/>
        </w:rPr>
        <w:t>nieodpłatnie lub stwierdzono ich niedobór.</w:t>
      </w:r>
    </w:p>
    <w:p w14:paraId="415744B1" w14:textId="77777777" w:rsidR="00C70B62" w:rsidRPr="00FB0D74" w:rsidRDefault="00C70B62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77887DC2" w14:textId="1725CC23" w:rsidR="0011063D" w:rsidRDefault="00FB0D74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  <w:r w:rsidRPr="00FB0D74">
        <w:rPr>
          <w:color w:val="000000"/>
          <w:szCs w:val="24"/>
        </w:rPr>
        <w:t>Okresy i s</w:t>
      </w:r>
      <w:r w:rsidR="00C70B62" w:rsidRPr="00FB0D74">
        <w:rPr>
          <w:color w:val="000000"/>
          <w:szCs w:val="24"/>
        </w:rPr>
        <w:t>tawk</w:t>
      </w:r>
      <w:r w:rsidRPr="00FB0D74">
        <w:rPr>
          <w:color w:val="000000"/>
          <w:szCs w:val="24"/>
        </w:rPr>
        <w:t>i</w:t>
      </w:r>
      <w:r w:rsidR="00C70B62" w:rsidRPr="00FB0D74">
        <w:rPr>
          <w:color w:val="000000"/>
          <w:szCs w:val="24"/>
        </w:rPr>
        <w:t xml:space="preserve"> amortyzacji podlegają okresowej weryfikacji </w:t>
      </w:r>
      <w:r w:rsidR="00F50107" w:rsidRPr="00FB0D74">
        <w:rPr>
          <w:color w:val="000000"/>
          <w:szCs w:val="24"/>
        </w:rPr>
        <w:t>nie rzadziej niż na dzień bilansowy</w:t>
      </w:r>
      <w:r w:rsidRPr="00FB0D74">
        <w:rPr>
          <w:color w:val="000000"/>
          <w:szCs w:val="24"/>
        </w:rPr>
        <w:t xml:space="preserve">, a wyniki weryfikacji zamieszczane są w stosownym protokole. </w:t>
      </w:r>
      <w:r>
        <w:rPr>
          <w:color w:val="000000"/>
          <w:szCs w:val="24"/>
        </w:rPr>
        <w:t xml:space="preserve">Zmiana stawek i </w:t>
      </w:r>
      <w:r>
        <w:rPr>
          <w:color w:val="000000"/>
          <w:szCs w:val="24"/>
        </w:rPr>
        <w:lastRenderedPageBreak/>
        <w:t xml:space="preserve">okresów amortyzacji na skutek weryfikacji okresu ekonomicznej użyteczności </w:t>
      </w:r>
      <w:r w:rsidR="0041132D">
        <w:rPr>
          <w:color w:val="000000"/>
          <w:szCs w:val="24"/>
        </w:rPr>
        <w:t>środka trwałego następuje począwszy od następnego roku obrotowego.</w:t>
      </w:r>
      <w:r w:rsidR="00C70B62">
        <w:rPr>
          <w:color w:val="000000"/>
          <w:szCs w:val="24"/>
        </w:rPr>
        <w:t xml:space="preserve"> </w:t>
      </w:r>
    </w:p>
    <w:p w14:paraId="0DFE6A67" w14:textId="77777777" w:rsidR="00C70B62" w:rsidRDefault="00C70B62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9562371" w14:textId="7FB9577C" w:rsidR="0011063D" w:rsidRDefault="0011063D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W uzasadnionych przypadkach, za zgodą głównego księgowego</w:t>
      </w:r>
      <w:r w:rsidR="00C6489F">
        <w:rPr>
          <w:color w:val="000000"/>
          <w:szCs w:val="24"/>
        </w:rPr>
        <w:t xml:space="preserve"> Akademii</w:t>
      </w:r>
      <w:r>
        <w:rPr>
          <w:color w:val="000000"/>
          <w:szCs w:val="24"/>
        </w:rPr>
        <w:t>, możliwe</w:t>
      </w:r>
      <w:r w:rsidR="00C6489F">
        <w:rPr>
          <w:color w:val="000000"/>
          <w:szCs w:val="24"/>
        </w:rPr>
        <w:t xml:space="preserve"> jest</w:t>
      </w:r>
      <w:r>
        <w:rPr>
          <w:color w:val="000000"/>
          <w:szCs w:val="24"/>
        </w:rPr>
        <w:t xml:space="preserve"> zastosowanie odmiennych </w:t>
      </w:r>
      <w:r w:rsidR="00C6489F">
        <w:rPr>
          <w:color w:val="000000"/>
          <w:szCs w:val="24"/>
        </w:rPr>
        <w:t xml:space="preserve">zasad dokonywania </w:t>
      </w:r>
      <w:r>
        <w:rPr>
          <w:color w:val="000000"/>
          <w:szCs w:val="24"/>
        </w:rPr>
        <w:t>odpisów amortyzacyjnych, w odniesieniu do środka trwałego albo wartości niematerialnej lub prawnej, których wartość w dniu przyjęcia do użytkowania jest równa lub wyższa niż 10.000 zł.</w:t>
      </w:r>
    </w:p>
    <w:p w14:paraId="309DAAFE" w14:textId="77777777" w:rsidR="008E409C" w:rsidRDefault="008E409C" w:rsidP="008E409C">
      <w:pPr>
        <w:pStyle w:val="Tekstpodstawowy"/>
        <w:spacing w:line="360" w:lineRule="auto"/>
        <w:jc w:val="both"/>
        <w:rPr>
          <w:color w:val="000000"/>
          <w:szCs w:val="24"/>
        </w:rPr>
      </w:pPr>
    </w:p>
    <w:p w14:paraId="02DE390A" w14:textId="6E50A15F" w:rsidR="001A551F" w:rsidRPr="003E73E5" w:rsidRDefault="001A551F" w:rsidP="001A551F">
      <w:pPr>
        <w:pStyle w:val="Tekstpodstawowy"/>
        <w:tabs>
          <w:tab w:val="num" w:pos="900"/>
        </w:tabs>
        <w:spacing w:line="360" w:lineRule="auto"/>
        <w:jc w:val="both"/>
        <w:rPr>
          <w:color w:val="000000" w:themeColor="text1"/>
        </w:rPr>
      </w:pPr>
      <w:r w:rsidRPr="0089204B">
        <w:rPr>
          <w:color w:val="000000"/>
          <w:szCs w:val="24"/>
        </w:rPr>
        <w:t>Przekazanie</w:t>
      </w:r>
      <w:r w:rsidRPr="0089204B">
        <w:rPr>
          <w:color w:val="000000" w:themeColor="text1"/>
        </w:rPr>
        <w:t xml:space="preserve"> środków trwałych pomiędzy jednostkami organizacyjnymi nie stanowi likwidacji w jednostce przekazującej i nabycia w jednostce przyjmującej, a jedynie przeniesienie do innego miejsca użytkowania.</w:t>
      </w:r>
      <w:r w:rsidR="00D81542" w:rsidRPr="0089204B">
        <w:rPr>
          <w:color w:val="000000" w:themeColor="text1"/>
        </w:rPr>
        <w:t xml:space="preserve"> Przeniesieniu podlega wartość początkowa jak i dotychczasowe umorzenie.</w:t>
      </w:r>
      <w:r w:rsidR="004853C4" w:rsidRPr="0089204B">
        <w:rPr>
          <w:color w:val="000000" w:themeColor="text1"/>
        </w:rPr>
        <w:t xml:space="preserve"> W jednostce przejmującej następuje kontynuacja dotychczasow</w:t>
      </w:r>
      <w:r w:rsidR="00F87C56" w:rsidRPr="0089204B">
        <w:rPr>
          <w:color w:val="000000" w:themeColor="text1"/>
        </w:rPr>
        <w:t>ych zasad amortyzacji</w:t>
      </w:r>
      <w:r w:rsidR="004853C4" w:rsidRPr="0089204B">
        <w:rPr>
          <w:color w:val="000000" w:themeColor="text1"/>
        </w:rPr>
        <w:t>.</w:t>
      </w:r>
      <w:r w:rsidR="004853C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</w:p>
    <w:p w14:paraId="72E66E39" w14:textId="045E21F1" w:rsidR="00CD11E8" w:rsidRDefault="00CD11E8"/>
    <w:sectPr w:rsidR="00CD1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AB86A" w14:textId="77777777" w:rsidR="008F674F" w:rsidRDefault="008F674F" w:rsidP="0054049B">
      <w:pPr>
        <w:spacing w:after="0" w:line="240" w:lineRule="auto"/>
      </w:pPr>
      <w:r>
        <w:separator/>
      </w:r>
    </w:p>
  </w:endnote>
  <w:endnote w:type="continuationSeparator" w:id="0">
    <w:p w14:paraId="4DAAC6B3" w14:textId="77777777" w:rsidR="008F674F" w:rsidRDefault="008F674F" w:rsidP="0054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B7FF" w14:textId="77777777" w:rsidR="008F674F" w:rsidRDefault="008F674F" w:rsidP="0054049B">
      <w:pPr>
        <w:spacing w:after="0" w:line="240" w:lineRule="auto"/>
      </w:pPr>
      <w:r>
        <w:separator/>
      </w:r>
    </w:p>
  </w:footnote>
  <w:footnote w:type="continuationSeparator" w:id="0">
    <w:p w14:paraId="147A1AC1" w14:textId="77777777" w:rsidR="008F674F" w:rsidRDefault="008F674F" w:rsidP="0054049B">
      <w:pPr>
        <w:spacing w:after="0" w:line="240" w:lineRule="auto"/>
      </w:pPr>
      <w:r>
        <w:continuationSeparator/>
      </w:r>
    </w:p>
  </w:footnote>
  <w:footnote w:id="1">
    <w:p w14:paraId="0A340A6F" w14:textId="5F1CA937" w:rsidR="0054049B" w:rsidRPr="00D34370" w:rsidRDefault="0054049B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Przebudowa – w wyniku poniesionych wydatków następuje zmiana parametr</w:t>
      </w:r>
      <w:r w:rsidR="000C6DF1" w:rsidRPr="00D34370">
        <w:rPr>
          <w:rFonts w:ascii="Times New Roman" w:hAnsi="Times New Roman" w:cs="Times New Roman"/>
        </w:rPr>
        <w:t>ów</w:t>
      </w:r>
      <w:r w:rsidRPr="00D34370">
        <w:rPr>
          <w:rFonts w:ascii="Times New Roman" w:hAnsi="Times New Roman" w:cs="Times New Roman"/>
        </w:rPr>
        <w:t xml:space="preserve"> techniczn</w:t>
      </w:r>
      <w:r w:rsidR="000C6DF1" w:rsidRPr="00D34370">
        <w:rPr>
          <w:rFonts w:ascii="Times New Roman" w:hAnsi="Times New Roman" w:cs="Times New Roman"/>
        </w:rPr>
        <w:t>ych</w:t>
      </w:r>
      <w:r w:rsidRPr="00D34370">
        <w:rPr>
          <w:rFonts w:ascii="Times New Roman" w:hAnsi="Times New Roman" w:cs="Times New Roman"/>
        </w:rPr>
        <w:t>, ale nie zmieniają się parametry charakterystyczne dla obiektu np. przebudowa domu jednorodzinnego na biurowiec</w:t>
      </w:r>
    </w:p>
  </w:footnote>
  <w:footnote w:id="2">
    <w:p w14:paraId="0212041E" w14:textId="13ADDEDF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Rozbudowa – powoduje zmianę parametrów charakterystycznych dla obiektu np. zwiększeniu powierzchni budynku; rozbudowa może przybrać formę adaptacji np. budynek lub pomieszczenie będą wykorzystywane do innych niż dotychczas celów</w:t>
      </w:r>
    </w:p>
  </w:footnote>
  <w:footnote w:id="3">
    <w:p w14:paraId="47029278" w14:textId="07C79DD5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Modernizacja – polega na dostosowaniu obiektu do nowszych norm i standardów</w:t>
      </w:r>
    </w:p>
  </w:footnote>
  <w:footnote w:id="4">
    <w:p w14:paraId="358064FE" w14:textId="52B13D34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Rekonstrukcja – to odbudowa obiektu, który uprzednio przestał być zdatny do użytku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E3669"/>
    <w:multiLevelType w:val="multilevel"/>
    <w:tmpl w:val="4B3A4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ookman Old Style" w:hAnsi="Bookman Old Style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6C07158E"/>
    <w:multiLevelType w:val="multilevel"/>
    <w:tmpl w:val="3A2AA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32553"/>
    <w:rsid w:val="00077188"/>
    <w:rsid w:val="000A7801"/>
    <w:rsid w:val="000C6DF1"/>
    <w:rsid w:val="000F54EC"/>
    <w:rsid w:val="00105CDD"/>
    <w:rsid w:val="0011063D"/>
    <w:rsid w:val="00172E33"/>
    <w:rsid w:val="001A551F"/>
    <w:rsid w:val="001A7495"/>
    <w:rsid w:val="00221C0F"/>
    <w:rsid w:val="002833C9"/>
    <w:rsid w:val="00345932"/>
    <w:rsid w:val="00356E53"/>
    <w:rsid w:val="0041132D"/>
    <w:rsid w:val="004269C1"/>
    <w:rsid w:val="00475DCC"/>
    <w:rsid w:val="004853C4"/>
    <w:rsid w:val="004C45C4"/>
    <w:rsid w:val="004F2739"/>
    <w:rsid w:val="00520D2C"/>
    <w:rsid w:val="0054049B"/>
    <w:rsid w:val="00540F01"/>
    <w:rsid w:val="0055349B"/>
    <w:rsid w:val="00602B89"/>
    <w:rsid w:val="006711E7"/>
    <w:rsid w:val="00680768"/>
    <w:rsid w:val="00715A12"/>
    <w:rsid w:val="0075662E"/>
    <w:rsid w:val="007979D3"/>
    <w:rsid w:val="007E6866"/>
    <w:rsid w:val="007F2BD7"/>
    <w:rsid w:val="00801FEF"/>
    <w:rsid w:val="00847C89"/>
    <w:rsid w:val="00856596"/>
    <w:rsid w:val="008616FB"/>
    <w:rsid w:val="00864A3A"/>
    <w:rsid w:val="0089204B"/>
    <w:rsid w:val="008E409C"/>
    <w:rsid w:val="008F674F"/>
    <w:rsid w:val="0093370D"/>
    <w:rsid w:val="00970568"/>
    <w:rsid w:val="009802EF"/>
    <w:rsid w:val="00980BCD"/>
    <w:rsid w:val="00AB3033"/>
    <w:rsid w:val="00B46E21"/>
    <w:rsid w:val="00B50DA2"/>
    <w:rsid w:val="00B831B1"/>
    <w:rsid w:val="00BB23C8"/>
    <w:rsid w:val="00BF70B8"/>
    <w:rsid w:val="00C17C97"/>
    <w:rsid w:val="00C46B14"/>
    <w:rsid w:val="00C6489F"/>
    <w:rsid w:val="00C70B62"/>
    <w:rsid w:val="00CD11E8"/>
    <w:rsid w:val="00D10F31"/>
    <w:rsid w:val="00D34370"/>
    <w:rsid w:val="00D355A6"/>
    <w:rsid w:val="00D507B7"/>
    <w:rsid w:val="00D67482"/>
    <w:rsid w:val="00D81542"/>
    <w:rsid w:val="00E11A0D"/>
    <w:rsid w:val="00E23C5F"/>
    <w:rsid w:val="00E42CF6"/>
    <w:rsid w:val="00E45ADC"/>
    <w:rsid w:val="00E726AC"/>
    <w:rsid w:val="00E7404B"/>
    <w:rsid w:val="00E953B0"/>
    <w:rsid w:val="00EA696E"/>
    <w:rsid w:val="00ED74A6"/>
    <w:rsid w:val="00F50107"/>
    <w:rsid w:val="00F61365"/>
    <w:rsid w:val="00F717FD"/>
    <w:rsid w:val="00F72077"/>
    <w:rsid w:val="00F87C56"/>
    <w:rsid w:val="00FB0D74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D579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1C0F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40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C0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40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semiHidden/>
    <w:unhideWhenUsed/>
    <w:rsid w:val="008E409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E409C"/>
    <w:pPr>
      <w:spacing w:before="240" w:after="12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E409C"/>
    <w:rPr>
      <w:rFonts w:ascii="Times New Roman" w:hAnsi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8E40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E409C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09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26AC"/>
    <w:pPr>
      <w:spacing w:before="0" w:after="160"/>
      <w:jc w:val="left"/>
    </w:pPr>
    <w:rPr>
      <w:rFonts w:asciiTheme="minorHAnsi" w:hAnsiTheme="minorHAns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26AC"/>
    <w:rPr>
      <w:rFonts w:ascii="Times New Roman" w:hAnsi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04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04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04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8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97D7C-FCD2-4064-840E-13308E3D92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43E785-10F5-4653-BDDB-0C9490B916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414182-28DA-4D68-AD1F-B002F508F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99E6C4-2B6C-4C1B-B57E-6A91CE99C0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2022-01-12T12:43:00Z</cp:lastPrinted>
  <dcterms:created xsi:type="dcterms:W3CDTF">2022-02-09T13:13:00Z</dcterms:created>
  <dcterms:modified xsi:type="dcterms:W3CDTF">2022-02-09T13:13:00Z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