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FB370" w14:textId="77777777" w:rsidR="00606721" w:rsidRPr="00606721" w:rsidRDefault="00606721" w:rsidP="00606721">
      <w:pPr>
        <w:pBdr>
          <w:top w:val="single" w:sz="4" w:space="1" w:color="FF0000"/>
          <w:left w:val="single" w:sz="4" w:space="4" w:color="FF0000"/>
          <w:bottom w:val="single" w:sz="4" w:space="1" w:color="FF0000"/>
          <w:right w:val="single" w:sz="4" w:space="4" w:color="FF0000"/>
        </w:pBdr>
        <w:spacing w:after="0" w:line="240" w:lineRule="auto"/>
        <w:jc w:val="center"/>
        <w:rPr>
          <w:rFonts w:ascii="Bookman Old Style" w:hAnsi="Bookman Old Style"/>
          <w:b/>
          <w:color w:val="FF0000"/>
        </w:rPr>
      </w:pPr>
      <w:r w:rsidRPr="00606721">
        <w:rPr>
          <w:rFonts w:ascii="Bookman Old Style" w:hAnsi="Bookman Old Style"/>
          <w:b/>
          <w:color w:val="FF0000"/>
        </w:rPr>
        <w:t>Czerwoną czcionką zmiany dokonane w odpowiedzi na pytania wykonawców</w:t>
      </w:r>
    </w:p>
    <w:p w14:paraId="31439107" w14:textId="77777777" w:rsidR="00606721" w:rsidRDefault="00606721" w:rsidP="00A52470">
      <w:pPr>
        <w:spacing w:after="0" w:line="240" w:lineRule="auto"/>
        <w:jc w:val="center"/>
        <w:rPr>
          <w:rFonts w:ascii="Bookman Old Style" w:hAnsi="Bookman Old Style"/>
          <w:b/>
        </w:rPr>
      </w:pPr>
    </w:p>
    <w:p w14:paraId="081F7C02" w14:textId="77777777" w:rsidR="00A52470" w:rsidRPr="00AF615E" w:rsidRDefault="00A52470" w:rsidP="00A52470">
      <w:pPr>
        <w:spacing w:after="0" w:line="240" w:lineRule="auto"/>
        <w:jc w:val="center"/>
        <w:rPr>
          <w:rFonts w:ascii="Bookman Old Style" w:hAnsi="Bookman Old Style"/>
          <w:b/>
        </w:rPr>
      </w:pPr>
      <w:r w:rsidRPr="00AF615E">
        <w:rPr>
          <w:rFonts w:ascii="Bookman Old Style" w:hAnsi="Bookman Old Style"/>
          <w:b/>
        </w:rPr>
        <w:t>Opis przedmiotu zamówienia</w:t>
      </w:r>
    </w:p>
    <w:p w14:paraId="3AE510A0" w14:textId="77777777" w:rsidR="00A52470" w:rsidRPr="00AF615E" w:rsidRDefault="00A52470" w:rsidP="00A52470">
      <w:pPr>
        <w:spacing w:after="0" w:line="240" w:lineRule="auto"/>
        <w:jc w:val="center"/>
        <w:rPr>
          <w:rFonts w:ascii="Bookman Old Style" w:hAnsi="Bookman Old Style"/>
          <w:b/>
        </w:rPr>
      </w:pPr>
    </w:p>
    <w:p w14:paraId="00BB90F0" w14:textId="77777777" w:rsidR="00A52470" w:rsidRPr="00AF615E" w:rsidRDefault="00A52470" w:rsidP="00A52470">
      <w:pPr>
        <w:tabs>
          <w:tab w:val="left" w:pos="9072"/>
        </w:tabs>
        <w:spacing w:line="360" w:lineRule="auto"/>
        <w:jc w:val="both"/>
        <w:rPr>
          <w:rFonts w:ascii="Bookman Old Style" w:hAnsi="Bookman Old Style" w:cs="Tahoma"/>
          <w:b/>
          <w:bCs/>
        </w:rPr>
      </w:pPr>
      <w:r w:rsidRPr="00AF615E">
        <w:rPr>
          <w:rFonts w:ascii="Bookman Old Style" w:hAnsi="Bookman Old Style" w:cs="Tahoma"/>
          <w:b/>
          <w:bCs/>
        </w:rPr>
        <w:t xml:space="preserve">Ubezpieczenia komunikacyjne, </w:t>
      </w:r>
      <w:r w:rsidRPr="00AF615E">
        <w:rPr>
          <w:rFonts w:ascii="Bookman Old Style" w:hAnsi="Bookman Old Style" w:cs="Tahoma"/>
          <w:bCs/>
        </w:rPr>
        <w:t>w tym</w:t>
      </w:r>
      <w:r w:rsidRPr="00AF615E">
        <w:rPr>
          <w:rFonts w:ascii="Bookman Old Style" w:hAnsi="Bookman Old Style" w:cs="Tahoma"/>
          <w:b/>
          <w:bCs/>
        </w:rPr>
        <w:t>:</w:t>
      </w:r>
    </w:p>
    <w:p w14:paraId="36B3ED41"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Obowiązkowe ubezpieczenie odpowiedzialności cywilnej posiadaczy pojazdów mechanicznych za szkody wyrządzone ruchem tych pojazdów</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OC</w:t>
      </w:r>
      <w:r w:rsidR="00D16589" w:rsidRPr="00AF615E">
        <w:rPr>
          <w:rFonts w:ascii="Bookman Old Style" w:hAnsi="Bookman Old Style" w:cs="Tahoma"/>
          <w:bCs/>
          <w:i/>
        </w:rPr>
        <w:t>)</w:t>
      </w:r>
      <w:r w:rsidRPr="00AF615E">
        <w:rPr>
          <w:rFonts w:ascii="Bookman Old Style" w:hAnsi="Bookman Old Style" w:cs="Tahoma"/>
          <w:bCs/>
        </w:rPr>
        <w:t>;</w:t>
      </w:r>
    </w:p>
    <w:p w14:paraId="2FA19495" w14:textId="58D4AE4E"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autocasco pojazdów mechanicznych od uszkodzeń, zniszczeń  i</w:t>
      </w:r>
      <w:r w:rsidR="00AA72C5">
        <w:rPr>
          <w:rFonts w:ascii="Bookman Old Style" w:hAnsi="Bookman Old Style" w:cs="Tahoma"/>
          <w:bCs/>
        </w:rPr>
        <w:t> </w:t>
      </w:r>
      <w:r w:rsidRPr="00AF615E">
        <w:rPr>
          <w:rFonts w:ascii="Bookman Old Style" w:hAnsi="Bookman Old Style" w:cs="Tahoma"/>
          <w:bCs/>
        </w:rPr>
        <w:t>kradzieży</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AC</w:t>
      </w:r>
      <w:r w:rsidR="00D16589" w:rsidRPr="00AF615E">
        <w:rPr>
          <w:rFonts w:ascii="Bookman Old Style" w:hAnsi="Bookman Old Style" w:cs="Tahoma"/>
          <w:bCs/>
          <w:i/>
        </w:rPr>
        <w:t>)</w:t>
      </w:r>
      <w:r w:rsidRPr="00AF615E">
        <w:rPr>
          <w:rFonts w:ascii="Bookman Old Style" w:hAnsi="Bookman Old Style" w:cs="Tahoma"/>
          <w:bCs/>
          <w:i/>
        </w:rPr>
        <w:t>;</w:t>
      </w:r>
    </w:p>
    <w:p w14:paraId="64CDDF62"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następstw nieszczęśliwych wypadków kierowców i pasażerów powstałych</w:t>
      </w:r>
      <w:r w:rsidR="00D16589" w:rsidRPr="00AF615E">
        <w:rPr>
          <w:rFonts w:ascii="Bookman Old Style" w:hAnsi="Bookman Old Style" w:cs="Tahoma"/>
          <w:bCs/>
        </w:rPr>
        <w:t xml:space="preserve"> </w:t>
      </w:r>
      <w:r w:rsidRPr="00AF615E">
        <w:rPr>
          <w:rFonts w:ascii="Bookman Old Style" w:hAnsi="Bookman Old Style" w:cs="Tahoma"/>
          <w:bCs/>
        </w:rPr>
        <w:t>w związku z użytkowaniem pojazdów mechanicznych</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NNW</w:t>
      </w:r>
      <w:r w:rsidR="00D16589" w:rsidRPr="00AF615E">
        <w:rPr>
          <w:rFonts w:ascii="Bookman Old Style" w:hAnsi="Bookman Old Style" w:cs="Tahoma"/>
          <w:bCs/>
          <w:i/>
        </w:rPr>
        <w:t>)</w:t>
      </w:r>
      <w:r w:rsidRPr="00AF615E">
        <w:rPr>
          <w:rFonts w:ascii="Bookman Old Style" w:hAnsi="Bookman Old Style" w:cs="Tahoma"/>
          <w:bCs/>
          <w:i/>
        </w:rPr>
        <w:t>;</w:t>
      </w:r>
    </w:p>
    <w:p w14:paraId="48FFA8D7"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assistance dla pojazdów</w:t>
      </w:r>
      <w:r w:rsidR="008178A6">
        <w:rPr>
          <w:rFonts w:ascii="Bookman Old Style" w:hAnsi="Bookman Old Style" w:cs="Tahoma"/>
          <w:bCs/>
        </w:rPr>
        <w:t xml:space="preserve"> </w:t>
      </w:r>
      <w:r w:rsidR="008178A6" w:rsidRPr="008178A6">
        <w:rPr>
          <w:rFonts w:ascii="Bookman Old Style" w:hAnsi="Bookman Old Style" w:cs="Tahoma"/>
          <w:b/>
          <w:bCs/>
          <w:color w:val="FF0000"/>
        </w:rPr>
        <w:t>osobowych oraz ciężarowych</w:t>
      </w:r>
      <w:r w:rsidRPr="008178A6">
        <w:rPr>
          <w:rFonts w:ascii="Bookman Old Style" w:hAnsi="Bookman Old Style" w:cs="Tahoma"/>
          <w:bCs/>
          <w:color w:val="FF0000"/>
        </w:rPr>
        <w:t xml:space="preserve"> </w:t>
      </w:r>
      <w:r w:rsidRPr="00AF615E">
        <w:rPr>
          <w:rFonts w:ascii="Bookman Old Style" w:hAnsi="Bookman Old Style" w:cs="Tahoma"/>
          <w:bCs/>
        </w:rPr>
        <w:t>do 2</w:t>
      </w:r>
      <w:r w:rsidR="00D16589" w:rsidRPr="00AF615E">
        <w:rPr>
          <w:rFonts w:ascii="Bookman Old Style" w:hAnsi="Bookman Old Style" w:cs="Tahoma"/>
          <w:bCs/>
        </w:rPr>
        <w:t xml:space="preserve">t ładowności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ASSISTANCE</w:t>
      </w:r>
      <w:r w:rsidR="00D16589" w:rsidRPr="00AF615E">
        <w:rPr>
          <w:rFonts w:ascii="Bookman Old Style" w:hAnsi="Bookman Old Style" w:cs="Tahoma"/>
          <w:bCs/>
          <w:i/>
        </w:rPr>
        <w:t>)</w:t>
      </w:r>
    </w:p>
    <w:p w14:paraId="12FD0BB6" w14:textId="77777777" w:rsidR="00A52470" w:rsidRPr="00AF615E" w:rsidRDefault="00A52470" w:rsidP="00D16589">
      <w:pPr>
        <w:tabs>
          <w:tab w:val="left" w:pos="9072"/>
        </w:tabs>
        <w:spacing w:line="360" w:lineRule="auto"/>
        <w:rPr>
          <w:rFonts w:ascii="Bookman Old Style" w:hAnsi="Bookman Old Style" w:cs="Tahoma"/>
          <w:b/>
          <w:bCs/>
          <w:color w:val="000000"/>
          <w:spacing w:val="-2"/>
        </w:rPr>
      </w:pPr>
    </w:p>
    <w:p w14:paraId="10B70329" w14:textId="77777777" w:rsidR="00A52470" w:rsidRPr="00AF615E" w:rsidRDefault="00A52470" w:rsidP="00AF615E">
      <w:pPr>
        <w:pStyle w:val="Akapitzlist"/>
        <w:numPr>
          <w:ilvl w:val="0"/>
          <w:numId w:val="2"/>
        </w:numPr>
        <w:tabs>
          <w:tab w:val="left" w:pos="9072"/>
        </w:tabs>
        <w:spacing w:after="0" w:line="360" w:lineRule="auto"/>
        <w:ind w:left="709"/>
        <w:jc w:val="both"/>
        <w:rPr>
          <w:rFonts w:ascii="Bookman Old Style" w:hAnsi="Bookman Old Style" w:cs="Tahoma"/>
          <w:b/>
          <w:bCs/>
          <w:color w:val="000000"/>
          <w:spacing w:val="-2"/>
        </w:rPr>
      </w:pPr>
      <w:r w:rsidRPr="00AF615E">
        <w:rPr>
          <w:rFonts w:ascii="Bookman Old Style" w:hAnsi="Bookman Old Style" w:cs="Tahoma"/>
          <w:b/>
          <w:bCs/>
          <w:color w:val="000000"/>
          <w:spacing w:val="-2"/>
        </w:rPr>
        <w:t>INFORMACJE OGÓLNE</w:t>
      </w:r>
    </w:p>
    <w:p w14:paraId="5800FEA8" w14:textId="77777777" w:rsidR="00AA62A0" w:rsidRPr="00AA62A0" w:rsidRDefault="00A5247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bCs/>
          <w:u w:val="single"/>
          <w:lang w:eastAsia="ar-SA"/>
        </w:rPr>
        <w:t>Zamawiający informuje, że zapisy Opisu Przedmiotu Zamówienia mają pierwszeństwo przed ogólnymi wa</w:t>
      </w:r>
      <w:r w:rsidR="00AA62A0">
        <w:rPr>
          <w:rFonts w:ascii="Bookman Old Style" w:hAnsi="Bookman Old Style" w:cs="Tahoma"/>
          <w:bCs/>
          <w:u w:val="single"/>
          <w:lang w:eastAsia="ar-SA"/>
        </w:rPr>
        <w:t>runkami ubezpieczenia Wykonawcy, bez względu na nazwę tych warunków (ogólne, szczególne itd.)</w:t>
      </w:r>
    </w:p>
    <w:p w14:paraId="393646CD"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Postanowienia OWU towarzystwa ubezpieczeniowego kształtują treść umowy ubezpieczenia w takim zakresie, w jakim nie j</w:t>
      </w:r>
      <w:r>
        <w:rPr>
          <w:rFonts w:ascii="Bookman Old Style" w:hAnsi="Bookman Old Style" w:cs="Tahoma"/>
          <w:bCs/>
          <w:color w:val="000000"/>
          <w:spacing w:val="-2"/>
        </w:rPr>
        <w:t>est ona zmodyfikowana przez OPZ</w:t>
      </w:r>
      <w:r w:rsidRPr="00AA62A0">
        <w:rPr>
          <w:rFonts w:ascii="Bookman Old Style" w:hAnsi="Bookman Old Style" w:cs="Tahoma"/>
          <w:bCs/>
          <w:color w:val="000000"/>
          <w:spacing w:val="-2"/>
        </w:rPr>
        <w:t>.</w:t>
      </w:r>
    </w:p>
    <w:p w14:paraId="72470328" w14:textId="77777777" w:rsidR="00AE3CCC" w:rsidRPr="00AE3CCC" w:rsidRDefault="00A52470"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lang w:eastAsia="ar-SA"/>
        </w:rPr>
        <w:t xml:space="preserve">Zamawiający dopuszcza odmienną treść klauzul, pod warunkiem, że nie będzie ona sprzeczna z zapisami </w:t>
      </w:r>
      <w:r w:rsidR="00006FA5" w:rsidRPr="00AF615E">
        <w:rPr>
          <w:rFonts w:ascii="Bookman Old Style" w:hAnsi="Bookman Old Style" w:cs="Tahoma"/>
          <w:lang w:eastAsia="ar-SA"/>
        </w:rPr>
        <w:t>Opisu Przedmiotu Zamówienia</w:t>
      </w:r>
      <w:r w:rsidRPr="00AF615E">
        <w:rPr>
          <w:rFonts w:ascii="Bookman Old Style" w:hAnsi="Bookman Old Style" w:cs="Tahoma"/>
          <w:lang w:eastAsia="ar-SA"/>
        </w:rPr>
        <w:t xml:space="preserve"> i zakres ochrony nie będzie węższy od zakresu określonego przez Zamawiającego w treści wymaganych klauzul zamieszczonych w Opisie Przedmiotu Zamówienia.</w:t>
      </w:r>
    </w:p>
    <w:p w14:paraId="295109D2" w14:textId="77777777" w:rsidR="00AE3CCC" w:rsidRPr="00AE3CCC" w:rsidRDefault="00AE3CCC"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E3CCC">
        <w:rPr>
          <w:rFonts w:ascii="Bookman Old Style" w:hAnsi="Bookman Old Style" w:cs="Tahoma"/>
          <w:bCs/>
          <w:color w:val="000000"/>
          <w:spacing w:val="-2"/>
        </w:rPr>
        <w:t>Zamawiający nie przewiduje możl</w:t>
      </w:r>
      <w:r>
        <w:rPr>
          <w:rFonts w:ascii="Bookman Old Style" w:hAnsi="Bookman Old Style" w:cs="Tahoma"/>
          <w:bCs/>
          <w:color w:val="000000"/>
          <w:spacing w:val="-2"/>
        </w:rPr>
        <w:t>iwości dostosowania zapisów OPZ</w:t>
      </w:r>
      <w:r w:rsidRPr="00AE3CCC">
        <w:rPr>
          <w:rFonts w:ascii="Bookman Old Style" w:hAnsi="Bookman Old Style" w:cs="Tahoma"/>
          <w:bCs/>
          <w:color w:val="000000"/>
          <w:spacing w:val="-2"/>
        </w:rPr>
        <w:t xml:space="preserve"> do potrzeb konkretnego towarzystwa ubezpieczeniowego, w zakresie ich zgodności z zapisami obowiązującymi w warunkach ubezpieczenia tego wykonawcy, w szczególności dotyczących definicji, treści klauzul, jeżeli w opisie przedmiotu zamówienia zostały one określone.</w:t>
      </w:r>
    </w:p>
    <w:p w14:paraId="24F29389"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Zamawiający nie dopuszcza zmian wysokości franszyz / udziałów własnych oraz limitów określonych w przedmiocie zamówienia.</w:t>
      </w:r>
    </w:p>
    <w:p w14:paraId="0912A4DF"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Arial"/>
          <w:bCs/>
        </w:rPr>
        <w:t>Polisy dotyczące poszczególnych ryzyk, określające podstawowe parametry dotyczące ubezpieczenia, tj. m.in. przedmiot ubezpieczenia, sumy ubezpieczenia, składkę i jej płatność itp., zostaną zawarte na 12 miesięcy.</w:t>
      </w:r>
    </w:p>
    <w:p w14:paraId="2B4BB809" w14:textId="2CC131F6"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lastRenderedPageBreak/>
        <w:t>Wszystkie sumy ubezpieczenia na pierwsze ryzyko, sumy gwarancyjne, limity odpowiedzialności i limity podlegające wyczerpaniu zostały określone w</w:t>
      </w:r>
      <w:r w:rsidR="00AA72C5">
        <w:rPr>
          <w:rFonts w:ascii="Bookman Old Style" w:hAnsi="Bookman Old Style" w:cs="Arial"/>
          <w:bCs/>
        </w:rPr>
        <w:t> </w:t>
      </w:r>
      <w:r w:rsidRPr="00AF615E">
        <w:rPr>
          <w:rFonts w:ascii="Bookman Old Style" w:hAnsi="Bookman Old Style" w:cs="Arial"/>
          <w:bCs/>
        </w:rPr>
        <w:t>odniesieniu do kolejnych 12 miesięcy.</w:t>
      </w:r>
    </w:p>
    <w:p w14:paraId="12DFED84"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Wykonawca zobowiązany jest do prowadzenia i udostępnienia raz na kwartał brokerowi obsługującemu Zamawiającego lub Zamawiającemu ewidencji zgłaszanych szkód i wartości wypłacanych odszkodowań oraz utrzymywanych rezerw z uwzględnieniem podziału na ryzyka</w:t>
      </w:r>
    </w:p>
    <w:p w14:paraId="33A795EE" w14:textId="77777777" w:rsidR="00AE3CCC" w:rsidRDefault="00A52470" w:rsidP="00AE3CCC">
      <w:pPr>
        <w:pStyle w:val="Akapitzlist"/>
        <w:numPr>
          <w:ilvl w:val="0"/>
          <w:numId w:val="3"/>
        </w:numPr>
        <w:tabs>
          <w:tab w:val="left" w:pos="9072"/>
        </w:tabs>
        <w:spacing w:line="360" w:lineRule="auto"/>
        <w:ind w:left="567"/>
        <w:jc w:val="both"/>
        <w:rPr>
          <w:rFonts w:ascii="Bookman Old Style" w:hAnsi="Bookman Old Style" w:cs="Arial"/>
          <w:bCs/>
        </w:rPr>
      </w:pPr>
      <w:r w:rsidRPr="00AF615E">
        <w:rPr>
          <w:rFonts w:ascii="Bookman Old Style" w:hAnsi="Bookman Old Style" w:cs="Arial"/>
          <w:bCs/>
        </w:rPr>
        <w:t>Wykonawca zobowiązany jest do przesyłania Zamawiającemu oraz do wiadomości brokera, decyzji o wypłacie (lub odmowie wypłaty) odszkodowania. Przelewy środków pieniężnych</w:t>
      </w:r>
      <w:r w:rsidR="00AF615E">
        <w:rPr>
          <w:rFonts w:ascii="Bookman Old Style" w:hAnsi="Bookman Old Style" w:cs="Arial"/>
          <w:bCs/>
        </w:rPr>
        <w:t xml:space="preserve"> </w:t>
      </w:r>
      <w:r w:rsidRPr="00AF615E">
        <w:rPr>
          <w:rFonts w:ascii="Bookman Old Style" w:hAnsi="Bookman Old Style" w:cs="Arial"/>
          <w:bCs/>
        </w:rPr>
        <w:t>z tytułu odszkodowań i innych świadczeń dokonywane winny być ze szczegółowym wskazaniem tytułu przelewu oraz podaniem nr szkody.</w:t>
      </w:r>
    </w:p>
    <w:p w14:paraId="3F2F8F0C" w14:textId="77777777" w:rsidR="00AE3CCC" w:rsidRPr="00AE3CCC" w:rsidRDefault="00AE3CCC" w:rsidP="00AE3CCC">
      <w:pPr>
        <w:pStyle w:val="Akapitzlist"/>
        <w:numPr>
          <w:ilvl w:val="0"/>
          <w:numId w:val="3"/>
        </w:numPr>
        <w:tabs>
          <w:tab w:val="left" w:pos="9072"/>
        </w:tabs>
        <w:spacing w:line="360" w:lineRule="auto"/>
        <w:ind w:left="567"/>
        <w:jc w:val="both"/>
        <w:rPr>
          <w:rFonts w:ascii="Bookman Old Style" w:hAnsi="Bookman Old Style" w:cs="Arial"/>
          <w:bCs/>
        </w:rPr>
      </w:pPr>
      <w:r w:rsidRPr="00AE3CCC">
        <w:rPr>
          <w:rFonts w:ascii="Bookman Old Style" w:hAnsi="Bookman Old Style" w:cs="Arial"/>
          <w:bCs/>
        </w:rPr>
        <w:t>Przed zawarciem umowy ubezpieczenia towarzystwo ubezpieczeniowe, którego ofertę wybrano, przekaże Zamawiającemu OWU mające zastosowanie dla poszczególnych ryzyk objętych zakresem umowy wraz z kartami produktów.</w:t>
      </w:r>
    </w:p>
    <w:p w14:paraId="1E8F930F" w14:textId="77777777" w:rsidR="00AE3CCC" w:rsidRPr="00AF615E" w:rsidRDefault="00AE3CCC" w:rsidP="00AF615E">
      <w:pPr>
        <w:pStyle w:val="Akapitzlist"/>
        <w:numPr>
          <w:ilvl w:val="0"/>
          <w:numId w:val="3"/>
        </w:numPr>
        <w:tabs>
          <w:tab w:val="left" w:pos="9072"/>
        </w:tabs>
        <w:spacing w:line="360" w:lineRule="auto"/>
        <w:ind w:left="567"/>
        <w:jc w:val="both"/>
        <w:rPr>
          <w:rFonts w:ascii="Bookman Old Style" w:hAnsi="Bookman Old Style" w:cs="Arial"/>
          <w:bCs/>
        </w:rPr>
      </w:pPr>
    </w:p>
    <w:p w14:paraId="050955CF"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color w:val="000000"/>
          <w:spacing w:val="-2"/>
        </w:rPr>
      </w:pPr>
    </w:p>
    <w:p w14:paraId="522D91E2"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Ubezpieczający (Zamawiający)</w:t>
      </w:r>
      <w:r w:rsidRPr="00AF615E">
        <w:rPr>
          <w:rFonts w:ascii="Bookman Old Style" w:hAnsi="Bookman Old Style" w:cs="Tahoma"/>
          <w:b/>
          <w:bCs/>
          <w:lang w:eastAsia="pl-PL"/>
        </w:rPr>
        <w:t>:</w:t>
      </w:r>
    </w:p>
    <w:p w14:paraId="394260F8"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POLSKA AKADEMIA NAUK</w:t>
      </w:r>
    </w:p>
    <w:p w14:paraId="428EEA14"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PLAC DEFILAD 1</w:t>
      </w:r>
    </w:p>
    <w:p w14:paraId="7FB6CEE3"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00-901 WARSZAWA</w:t>
      </w:r>
    </w:p>
    <w:p w14:paraId="232BE190"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NIP: 5251575083</w:t>
      </w:r>
    </w:p>
    <w:p w14:paraId="657917F8" w14:textId="77777777" w:rsidR="00A52470"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REGON: 000325713</w:t>
      </w:r>
    </w:p>
    <w:p w14:paraId="719969F2" w14:textId="77777777" w:rsidR="00AF615E" w:rsidRPr="00AF615E" w:rsidRDefault="00AF615E" w:rsidP="00A52470">
      <w:pPr>
        <w:pStyle w:val="Akapitzlist"/>
        <w:tabs>
          <w:tab w:val="left" w:pos="9072"/>
        </w:tabs>
        <w:spacing w:after="0" w:line="360" w:lineRule="auto"/>
        <w:jc w:val="both"/>
        <w:rPr>
          <w:rFonts w:ascii="Bookman Old Style" w:hAnsi="Bookman Old Style" w:cs="Tahoma"/>
          <w:bCs/>
        </w:rPr>
      </w:pPr>
    </w:p>
    <w:p w14:paraId="2582557D"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Ubezpieczony (Zamawiający)</w:t>
      </w:r>
      <w:r w:rsidRPr="00AF615E">
        <w:rPr>
          <w:rFonts w:ascii="Bookman Old Style" w:hAnsi="Bookman Old Style" w:cs="Tahoma"/>
          <w:b/>
          <w:bCs/>
          <w:lang w:eastAsia="pl-PL"/>
        </w:rPr>
        <w:t>:</w:t>
      </w:r>
    </w:p>
    <w:p w14:paraId="14165788" w14:textId="77777777" w:rsidR="00A52470" w:rsidRPr="00AF615E" w:rsidRDefault="00A52470" w:rsidP="00A52470">
      <w:pPr>
        <w:pStyle w:val="Akapitzlist"/>
        <w:tabs>
          <w:tab w:val="left" w:pos="0"/>
          <w:tab w:val="left" w:pos="9072"/>
        </w:tabs>
        <w:spacing w:after="0" w:line="360" w:lineRule="auto"/>
        <w:ind w:left="0"/>
        <w:jc w:val="both"/>
        <w:rPr>
          <w:rFonts w:ascii="Bookman Old Style" w:hAnsi="Bookman Old Style"/>
          <w:b/>
          <w:color w:val="000000"/>
          <w:spacing w:val="-2"/>
        </w:rPr>
      </w:pPr>
      <w:r w:rsidRPr="00AF615E">
        <w:rPr>
          <w:rFonts w:ascii="Bookman Old Style" w:hAnsi="Bookman Old Style"/>
          <w:b/>
          <w:color w:val="000000"/>
          <w:spacing w:val="-2"/>
        </w:rPr>
        <w:t>Dane adresowe Ubezpieczonego:</w:t>
      </w:r>
    </w:p>
    <w:tbl>
      <w:tblPr>
        <w:tblW w:w="9918" w:type="dxa"/>
        <w:tblCellMar>
          <w:left w:w="70" w:type="dxa"/>
          <w:right w:w="70" w:type="dxa"/>
        </w:tblCellMar>
        <w:tblLook w:val="04A0" w:firstRow="1" w:lastRow="0" w:firstColumn="1" w:lastColumn="0" w:noHBand="0" w:noVBand="1"/>
      </w:tblPr>
      <w:tblGrid>
        <w:gridCol w:w="651"/>
        <w:gridCol w:w="3789"/>
        <w:gridCol w:w="3580"/>
        <w:gridCol w:w="1898"/>
      </w:tblGrid>
      <w:tr w:rsidR="00A52470" w:rsidRPr="00AF615E" w14:paraId="20B746B1" w14:textId="77777777" w:rsidTr="00A52470">
        <w:trPr>
          <w:trHeight w:val="225"/>
          <w:tblHeader/>
        </w:trPr>
        <w:tc>
          <w:tcPr>
            <w:tcW w:w="51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828BBF2" w14:textId="77777777" w:rsidR="00A52470" w:rsidRPr="00AF615E" w:rsidRDefault="00A52470">
            <w:pPr>
              <w:spacing w:line="360" w:lineRule="auto"/>
              <w:jc w:val="center"/>
              <w:rPr>
                <w:rFonts w:ascii="Bookman Old Style" w:hAnsi="Bookman Old Style" w:cs="Tahoma"/>
                <w:b/>
                <w:color w:val="000000"/>
              </w:rPr>
            </w:pPr>
            <w:r w:rsidRPr="00AF615E">
              <w:rPr>
                <w:rFonts w:ascii="Bookman Old Style" w:hAnsi="Bookman Old Style" w:cs="Tahoma"/>
                <w:b/>
                <w:color w:val="000000"/>
              </w:rPr>
              <w:t> L.P.</w:t>
            </w:r>
          </w:p>
        </w:tc>
        <w:tc>
          <w:tcPr>
            <w:tcW w:w="3922" w:type="dxa"/>
            <w:tcBorders>
              <w:top w:val="single" w:sz="4" w:space="0" w:color="auto"/>
              <w:left w:val="nil"/>
              <w:bottom w:val="single" w:sz="4" w:space="0" w:color="auto"/>
              <w:right w:val="single" w:sz="4" w:space="0" w:color="auto"/>
            </w:tcBorders>
            <w:shd w:val="clear" w:color="auto" w:fill="D9D9D9"/>
            <w:vAlign w:val="center"/>
            <w:hideMark/>
          </w:tcPr>
          <w:p w14:paraId="0DBF0DF5"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Ubezpieczony podmiot</w:t>
            </w:r>
          </w:p>
        </w:tc>
        <w:tc>
          <w:tcPr>
            <w:tcW w:w="3580" w:type="dxa"/>
            <w:tcBorders>
              <w:top w:val="single" w:sz="4" w:space="0" w:color="auto"/>
              <w:left w:val="nil"/>
              <w:bottom w:val="single" w:sz="4" w:space="0" w:color="auto"/>
              <w:right w:val="single" w:sz="4" w:space="0" w:color="auto"/>
            </w:tcBorders>
            <w:shd w:val="clear" w:color="auto" w:fill="D9D9D9"/>
            <w:noWrap/>
            <w:vAlign w:val="center"/>
            <w:hideMark/>
          </w:tcPr>
          <w:p w14:paraId="758717B7"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adres siedziby</w:t>
            </w:r>
          </w:p>
        </w:tc>
        <w:tc>
          <w:tcPr>
            <w:tcW w:w="1898" w:type="dxa"/>
            <w:tcBorders>
              <w:top w:val="single" w:sz="4" w:space="0" w:color="auto"/>
              <w:left w:val="nil"/>
              <w:bottom w:val="single" w:sz="4" w:space="0" w:color="auto"/>
              <w:right w:val="single" w:sz="4" w:space="0" w:color="auto"/>
            </w:tcBorders>
            <w:shd w:val="clear" w:color="auto" w:fill="D9D9D9"/>
            <w:noWrap/>
            <w:vAlign w:val="center"/>
            <w:hideMark/>
          </w:tcPr>
          <w:p w14:paraId="5AA5ABA9"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REGON</w:t>
            </w:r>
          </w:p>
        </w:tc>
      </w:tr>
      <w:tr w:rsidR="00A52470" w:rsidRPr="00AF615E" w14:paraId="62424179"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321FB50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w:t>
            </w:r>
          </w:p>
        </w:tc>
        <w:tc>
          <w:tcPr>
            <w:tcW w:w="3922" w:type="dxa"/>
            <w:tcBorders>
              <w:top w:val="nil"/>
              <w:left w:val="nil"/>
              <w:bottom w:val="single" w:sz="4" w:space="0" w:color="auto"/>
              <w:right w:val="single" w:sz="4" w:space="0" w:color="auto"/>
            </w:tcBorders>
            <w:vAlign w:val="center"/>
            <w:hideMark/>
          </w:tcPr>
          <w:p w14:paraId="0571181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(centrala)</w:t>
            </w:r>
          </w:p>
        </w:tc>
        <w:tc>
          <w:tcPr>
            <w:tcW w:w="3580" w:type="dxa"/>
            <w:tcBorders>
              <w:top w:val="nil"/>
              <w:left w:val="nil"/>
              <w:bottom w:val="single" w:sz="4" w:space="0" w:color="auto"/>
              <w:right w:val="single" w:sz="4" w:space="0" w:color="auto"/>
            </w:tcBorders>
            <w:vAlign w:val="center"/>
            <w:hideMark/>
          </w:tcPr>
          <w:p w14:paraId="5EB569C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70A76E6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17F6C8FF"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22D6AEA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w:t>
            </w:r>
          </w:p>
        </w:tc>
        <w:tc>
          <w:tcPr>
            <w:tcW w:w="3922" w:type="dxa"/>
            <w:tcBorders>
              <w:top w:val="nil"/>
              <w:left w:val="nil"/>
              <w:bottom w:val="single" w:sz="4" w:space="0" w:color="auto"/>
              <w:right w:val="single" w:sz="4" w:space="0" w:color="auto"/>
            </w:tcBorders>
            <w:vAlign w:val="center"/>
            <w:hideMark/>
          </w:tcPr>
          <w:p w14:paraId="20F7F60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Paryżu</w:t>
            </w:r>
          </w:p>
        </w:tc>
        <w:tc>
          <w:tcPr>
            <w:tcW w:w="3580" w:type="dxa"/>
            <w:tcBorders>
              <w:top w:val="nil"/>
              <w:left w:val="nil"/>
              <w:bottom w:val="single" w:sz="4" w:space="0" w:color="auto"/>
              <w:right w:val="single" w:sz="4" w:space="0" w:color="auto"/>
            </w:tcBorders>
            <w:vAlign w:val="center"/>
            <w:hideMark/>
          </w:tcPr>
          <w:p w14:paraId="63A5E91E"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74, rue Lauriston - 75116 Paris</w:t>
            </w:r>
          </w:p>
        </w:tc>
        <w:tc>
          <w:tcPr>
            <w:tcW w:w="1898" w:type="dxa"/>
            <w:tcBorders>
              <w:top w:val="nil"/>
              <w:left w:val="nil"/>
              <w:bottom w:val="single" w:sz="4" w:space="0" w:color="auto"/>
              <w:right w:val="single" w:sz="4" w:space="0" w:color="auto"/>
            </w:tcBorders>
            <w:noWrap/>
            <w:vAlign w:val="center"/>
            <w:hideMark/>
          </w:tcPr>
          <w:p w14:paraId="6EED12C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B46F641"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71898A9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3</w:t>
            </w:r>
          </w:p>
        </w:tc>
        <w:tc>
          <w:tcPr>
            <w:tcW w:w="3922" w:type="dxa"/>
            <w:tcBorders>
              <w:top w:val="nil"/>
              <w:left w:val="nil"/>
              <w:bottom w:val="single" w:sz="4" w:space="0" w:color="auto"/>
              <w:right w:val="single" w:sz="4" w:space="0" w:color="auto"/>
            </w:tcBorders>
            <w:vAlign w:val="center"/>
            <w:hideMark/>
          </w:tcPr>
          <w:p w14:paraId="4497C12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Rzymie</w:t>
            </w:r>
          </w:p>
        </w:tc>
        <w:tc>
          <w:tcPr>
            <w:tcW w:w="3580" w:type="dxa"/>
            <w:tcBorders>
              <w:top w:val="nil"/>
              <w:left w:val="nil"/>
              <w:bottom w:val="single" w:sz="4" w:space="0" w:color="auto"/>
              <w:right w:val="single" w:sz="4" w:space="0" w:color="auto"/>
            </w:tcBorders>
            <w:noWrap/>
            <w:vAlign w:val="center"/>
            <w:hideMark/>
          </w:tcPr>
          <w:p w14:paraId="0CD951B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Vicolo Doria, 2 00187 Roma</w:t>
            </w:r>
          </w:p>
        </w:tc>
        <w:tc>
          <w:tcPr>
            <w:tcW w:w="1898" w:type="dxa"/>
            <w:tcBorders>
              <w:top w:val="nil"/>
              <w:left w:val="nil"/>
              <w:bottom w:val="single" w:sz="4" w:space="0" w:color="auto"/>
              <w:right w:val="single" w:sz="4" w:space="0" w:color="auto"/>
            </w:tcBorders>
            <w:noWrap/>
            <w:vAlign w:val="center"/>
            <w:hideMark/>
          </w:tcPr>
          <w:p w14:paraId="082129A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2194C909"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6C62039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4</w:t>
            </w:r>
          </w:p>
        </w:tc>
        <w:tc>
          <w:tcPr>
            <w:tcW w:w="3922" w:type="dxa"/>
            <w:tcBorders>
              <w:top w:val="nil"/>
              <w:left w:val="nil"/>
              <w:bottom w:val="single" w:sz="4" w:space="0" w:color="auto"/>
              <w:right w:val="single" w:sz="4" w:space="0" w:color="auto"/>
            </w:tcBorders>
            <w:vAlign w:val="center"/>
            <w:hideMark/>
          </w:tcPr>
          <w:p w14:paraId="07317C6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Wiedniu</w:t>
            </w:r>
          </w:p>
        </w:tc>
        <w:tc>
          <w:tcPr>
            <w:tcW w:w="3580" w:type="dxa"/>
            <w:tcBorders>
              <w:top w:val="nil"/>
              <w:left w:val="nil"/>
              <w:bottom w:val="single" w:sz="4" w:space="0" w:color="auto"/>
              <w:right w:val="single" w:sz="4" w:space="0" w:color="auto"/>
            </w:tcBorders>
            <w:noWrap/>
            <w:vAlign w:val="center"/>
            <w:hideMark/>
          </w:tcPr>
          <w:p w14:paraId="107D165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Boerhaavegasse 25, 1030 Wien</w:t>
            </w:r>
          </w:p>
        </w:tc>
        <w:tc>
          <w:tcPr>
            <w:tcW w:w="1898" w:type="dxa"/>
            <w:tcBorders>
              <w:top w:val="nil"/>
              <w:left w:val="nil"/>
              <w:bottom w:val="single" w:sz="4" w:space="0" w:color="auto"/>
              <w:right w:val="single" w:sz="4" w:space="0" w:color="auto"/>
            </w:tcBorders>
            <w:noWrap/>
            <w:vAlign w:val="center"/>
            <w:hideMark/>
          </w:tcPr>
          <w:p w14:paraId="29CFBD1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F01B12A"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63F116E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5</w:t>
            </w:r>
          </w:p>
        </w:tc>
        <w:tc>
          <w:tcPr>
            <w:tcW w:w="3922" w:type="dxa"/>
            <w:tcBorders>
              <w:top w:val="nil"/>
              <w:left w:val="nil"/>
              <w:bottom w:val="single" w:sz="4" w:space="0" w:color="auto"/>
              <w:right w:val="single" w:sz="4" w:space="0" w:color="auto"/>
            </w:tcBorders>
            <w:vAlign w:val="center"/>
            <w:hideMark/>
          </w:tcPr>
          <w:p w14:paraId="3308F52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Biuro Promocji Nauki PolSCA w Brukseli</w:t>
            </w:r>
          </w:p>
        </w:tc>
        <w:tc>
          <w:tcPr>
            <w:tcW w:w="3580" w:type="dxa"/>
            <w:tcBorders>
              <w:top w:val="nil"/>
              <w:left w:val="nil"/>
              <w:bottom w:val="single" w:sz="4" w:space="0" w:color="auto"/>
              <w:right w:val="single" w:sz="4" w:space="0" w:color="auto"/>
            </w:tcBorders>
            <w:noWrap/>
            <w:vAlign w:val="center"/>
            <w:hideMark/>
          </w:tcPr>
          <w:p w14:paraId="79B1094B" w14:textId="77777777" w:rsidR="00A52470" w:rsidRPr="00AF615E" w:rsidRDefault="00A52470">
            <w:pPr>
              <w:spacing w:line="360" w:lineRule="auto"/>
              <w:rPr>
                <w:rFonts w:ascii="Bookman Old Style" w:hAnsi="Bookman Old Style" w:cs="Tahoma"/>
                <w:color w:val="000000"/>
                <w:lang w:val="fr-FR"/>
              </w:rPr>
            </w:pPr>
            <w:r w:rsidRPr="00AF615E">
              <w:rPr>
                <w:rFonts w:ascii="Bookman Old Style" w:hAnsi="Bookman Old Style" w:cs="Tahoma"/>
                <w:color w:val="000000"/>
                <w:lang w:val="fr-FR"/>
              </w:rPr>
              <w:t>Rue du Trône 98, B-1050 Brussels</w:t>
            </w:r>
          </w:p>
        </w:tc>
        <w:tc>
          <w:tcPr>
            <w:tcW w:w="1898" w:type="dxa"/>
            <w:tcBorders>
              <w:top w:val="nil"/>
              <w:left w:val="nil"/>
              <w:bottom w:val="single" w:sz="4" w:space="0" w:color="auto"/>
              <w:right w:val="single" w:sz="4" w:space="0" w:color="auto"/>
            </w:tcBorders>
            <w:noWrap/>
            <w:vAlign w:val="center"/>
            <w:hideMark/>
          </w:tcPr>
          <w:p w14:paraId="17BE6A5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17BD308A"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7EF68F3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6</w:t>
            </w:r>
          </w:p>
        </w:tc>
        <w:tc>
          <w:tcPr>
            <w:tcW w:w="3922" w:type="dxa"/>
            <w:tcBorders>
              <w:top w:val="nil"/>
              <w:left w:val="nil"/>
              <w:bottom w:val="single" w:sz="4" w:space="0" w:color="auto"/>
              <w:right w:val="single" w:sz="4" w:space="0" w:color="auto"/>
            </w:tcBorders>
            <w:vAlign w:val="center"/>
            <w:hideMark/>
          </w:tcPr>
          <w:p w14:paraId="53E2287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Centrum Badań Historycznych w Berlinie</w:t>
            </w:r>
          </w:p>
        </w:tc>
        <w:tc>
          <w:tcPr>
            <w:tcW w:w="3580" w:type="dxa"/>
            <w:tcBorders>
              <w:top w:val="nil"/>
              <w:left w:val="nil"/>
              <w:bottom w:val="single" w:sz="4" w:space="0" w:color="auto"/>
              <w:right w:val="single" w:sz="4" w:space="0" w:color="auto"/>
            </w:tcBorders>
            <w:noWrap/>
            <w:vAlign w:val="center"/>
            <w:hideMark/>
          </w:tcPr>
          <w:p w14:paraId="26367F0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Majakowskiring 47, 13156 Berlin</w:t>
            </w:r>
          </w:p>
        </w:tc>
        <w:tc>
          <w:tcPr>
            <w:tcW w:w="1898" w:type="dxa"/>
            <w:tcBorders>
              <w:top w:val="nil"/>
              <w:left w:val="nil"/>
              <w:bottom w:val="single" w:sz="4" w:space="0" w:color="auto"/>
              <w:right w:val="single" w:sz="4" w:space="0" w:color="auto"/>
            </w:tcBorders>
            <w:noWrap/>
            <w:vAlign w:val="center"/>
            <w:hideMark/>
          </w:tcPr>
          <w:p w14:paraId="13B4BCD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31344BD"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FFBECF5"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7</w:t>
            </w:r>
          </w:p>
        </w:tc>
        <w:tc>
          <w:tcPr>
            <w:tcW w:w="3922" w:type="dxa"/>
            <w:tcBorders>
              <w:top w:val="nil"/>
              <w:left w:val="nil"/>
              <w:bottom w:val="single" w:sz="4" w:space="0" w:color="auto"/>
              <w:right w:val="single" w:sz="4" w:space="0" w:color="auto"/>
            </w:tcBorders>
            <w:vAlign w:val="center"/>
            <w:hideMark/>
          </w:tcPr>
          <w:p w14:paraId="0EBE502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Kijowie</w:t>
            </w:r>
          </w:p>
        </w:tc>
        <w:tc>
          <w:tcPr>
            <w:tcW w:w="3580" w:type="dxa"/>
            <w:tcBorders>
              <w:top w:val="nil"/>
              <w:left w:val="nil"/>
              <w:bottom w:val="single" w:sz="4" w:space="0" w:color="auto"/>
              <w:right w:val="single" w:sz="4" w:space="0" w:color="auto"/>
            </w:tcBorders>
            <w:noWrap/>
            <w:vAlign w:val="center"/>
            <w:hideMark/>
          </w:tcPr>
          <w:p w14:paraId="3615467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B. Chmielnickiego 49 m 4, 01044 Kijów</w:t>
            </w:r>
          </w:p>
        </w:tc>
        <w:tc>
          <w:tcPr>
            <w:tcW w:w="1898" w:type="dxa"/>
            <w:tcBorders>
              <w:top w:val="nil"/>
              <w:left w:val="nil"/>
              <w:bottom w:val="single" w:sz="4" w:space="0" w:color="auto"/>
              <w:right w:val="single" w:sz="4" w:space="0" w:color="auto"/>
            </w:tcBorders>
            <w:noWrap/>
            <w:vAlign w:val="center"/>
            <w:hideMark/>
          </w:tcPr>
          <w:p w14:paraId="693C8DA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39ED75F"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2540F74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8</w:t>
            </w:r>
          </w:p>
        </w:tc>
        <w:tc>
          <w:tcPr>
            <w:tcW w:w="3922" w:type="dxa"/>
            <w:tcBorders>
              <w:top w:val="nil"/>
              <w:left w:val="nil"/>
              <w:bottom w:val="single" w:sz="4" w:space="0" w:color="auto"/>
              <w:right w:val="single" w:sz="4" w:space="0" w:color="auto"/>
            </w:tcBorders>
            <w:vAlign w:val="center"/>
            <w:hideMark/>
          </w:tcPr>
          <w:p w14:paraId="485B38D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Gdańska</w:t>
            </w:r>
          </w:p>
        </w:tc>
        <w:tc>
          <w:tcPr>
            <w:tcW w:w="3580" w:type="dxa"/>
            <w:tcBorders>
              <w:top w:val="nil"/>
              <w:left w:val="nil"/>
              <w:bottom w:val="single" w:sz="4" w:space="0" w:color="auto"/>
              <w:right w:val="single" w:sz="4" w:space="0" w:color="auto"/>
            </w:tcBorders>
            <w:noWrap/>
            <w:vAlign w:val="center"/>
            <w:hideMark/>
          </w:tcPr>
          <w:p w14:paraId="6EA1102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ul.Wałowa 15, 80-858 Gdańsk</w:t>
            </w:r>
          </w:p>
        </w:tc>
        <w:tc>
          <w:tcPr>
            <w:tcW w:w="1898" w:type="dxa"/>
            <w:tcBorders>
              <w:top w:val="nil"/>
              <w:left w:val="nil"/>
              <w:bottom w:val="single" w:sz="4" w:space="0" w:color="auto"/>
              <w:right w:val="single" w:sz="4" w:space="0" w:color="auto"/>
            </w:tcBorders>
            <w:noWrap/>
            <w:vAlign w:val="center"/>
            <w:hideMark/>
          </w:tcPr>
          <w:p w14:paraId="33F4DBB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000325713-00102</w:t>
            </w:r>
          </w:p>
        </w:tc>
      </w:tr>
      <w:tr w:rsidR="00A52470" w:rsidRPr="00AF615E" w14:paraId="7E9AC3B2"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0FB93F1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9</w:t>
            </w:r>
          </w:p>
        </w:tc>
        <w:tc>
          <w:tcPr>
            <w:tcW w:w="3922" w:type="dxa"/>
            <w:tcBorders>
              <w:top w:val="nil"/>
              <w:left w:val="nil"/>
              <w:bottom w:val="single" w:sz="4" w:space="0" w:color="auto"/>
              <w:right w:val="single" w:sz="4" w:space="0" w:color="auto"/>
            </w:tcBorders>
            <w:vAlign w:val="center"/>
            <w:hideMark/>
          </w:tcPr>
          <w:p w14:paraId="50B523B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Kórnicka w Kórniku</w:t>
            </w:r>
          </w:p>
        </w:tc>
        <w:tc>
          <w:tcPr>
            <w:tcW w:w="3580" w:type="dxa"/>
            <w:tcBorders>
              <w:top w:val="nil"/>
              <w:left w:val="nil"/>
              <w:bottom w:val="single" w:sz="4" w:space="0" w:color="auto"/>
              <w:right w:val="single" w:sz="4" w:space="0" w:color="auto"/>
            </w:tcBorders>
            <w:noWrap/>
            <w:vAlign w:val="center"/>
            <w:hideMark/>
          </w:tcPr>
          <w:p w14:paraId="50277087"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ul.Zamkowa 5, 62-035 Kórnik</w:t>
            </w:r>
          </w:p>
        </w:tc>
        <w:tc>
          <w:tcPr>
            <w:tcW w:w="1898" w:type="dxa"/>
            <w:tcBorders>
              <w:top w:val="nil"/>
              <w:left w:val="nil"/>
              <w:bottom w:val="single" w:sz="4" w:space="0" w:color="auto"/>
              <w:right w:val="single" w:sz="4" w:space="0" w:color="auto"/>
            </w:tcBorders>
            <w:noWrap/>
            <w:vAlign w:val="center"/>
            <w:hideMark/>
          </w:tcPr>
          <w:p w14:paraId="1414D77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000325713-00213</w:t>
            </w:r>
          </w:p>
        </w:tc>
      </w:tr>
      <w:tr w:rsidR="00A52470" w:rsidRPr="00AF615E" w14:paraId="49366E65"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2529135"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10</w:t>
            </w:r>
          </w:p>
        </w:tc>
        <w:tc>
          <w:tcPr>
            <w:tcW w:w="3922" w:type="dxa"/>
            <w:tcBorders>
              <w:top w:val="nil"/>
              <w:left w:val="nil"/>
              <w:bottom w:val="single" w:sz="4" w:space="0" w:color="auto"/>
              <w:right w:val="single" w:sz="4" w:space="0" w:color="auto"/>
            </w:tcBorders>
            <w:vAlign w:val="center"/>
            <w:hideMark/>
          </w:tcPr>
          <w:p w14:paraId="0499566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Muzeum Ziemi w Warszawie</w:t>
            </w:r>
          </w:p>
          <w:p w14:paraId="09937C97"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Muzeum Ziemi)</w:t>
            </w:r>
          </w:p>
        </w:tc>
        <w:tc>
          <w:tcPr>
            <w:tcW w:w="3580" w:type="dxa"/>
            <w:tcBorders>
              <w:top w:val="nil"/>
              <w:left w:val="nil"/>
              <w:bottom w:val="single" w:sz="4" w:space="0" w:color="auto"/>
              <w:right w:val="single" w:sz="4" w:space="0" w:color="auto"/>
            </w:tcBorders>
            <w:vAlign w:val="center"/>
            <w:hideMark/>
          </w:tcPr>
          <w:p w14:paraId="7A1F6CEA"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Aleja na Skarpie 20/26 i 27, 00-488 Warszawa</w:t>
            </w:r>
          </w:p>
        </w:tc>
        <w:tc>
          <w:tcPr>
            <w:tcW w:w="1898" w:type="dxa"/>
            <w:tcBorders>
              <w:top w:val="nil"/>
              <w:left w:val="nil"/>
              <w:bottom w:val="single" w:sz="4" w:space="0" w:color="auto"/>
              <w:right w:val="single" w:sz="4" w:space="0" w:color="auto"/>
            </w:tcBorders>
            <w:noWrap/>
            <w:vAlign w:val="center"/>
            <w:hideMark/>
          </w:tcPr>
          <w:p w14:paraId="22A258D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000325713-00166</w:t>
            </w:r>
          </w:p>
        </w:tc>
      </w:tr>
      <w:tr w:rsidR="00A52470" w:rsidRPr="00AF615E" w14:paraId="27D35046"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835E71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11</w:t>
            </w:r>
          </w:p>
        </w:tc>
        <w:tc>
          <w:tcPr>
            <w:tcW w:w="3922" w:type="dxa"/>
            <w:tcBorders>
              <w:top w:val="nil"/>
              <w:left w:val="nil"/>
              <w:bottom w:val="single" w:sz="4" w:space="0" w:color="auto"/>
              <w:right w:val="single" w:sz="4" w:space="0" w:color="auto"/>
            </w:tcBorders>
            <w:vAlign w:val="center"/>
            <w:hideMark/>
          </w:tcPr>
          <w:p w14:paraId="56EE50D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Archiwum w Warszawie</w:t>
            </w:r>
          </w:p>
        </w:tc>
        <w:tc>
          <w:tcPr>
            <w:tcW w:w="3580" w:type="dxa"/>
            <w:tcBorders>
              <w:top w:val="nil"/>
              <w:left w:val="nil"/>
              <w:bottom w:val="single" w:sz="4" w:space="0" w:color="auto"/>
              <w:right w:val="single" w:sz="4" w:space="0" w:color="auto"/>
            </w:tcBorders>
            <w:noWrap/>
            <w:vAlign w:val="center"/>
            <w:hideMark/>
          </w:tcPr>
          <w:p w14:paraId="0FA1186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Nowy Świat 72, 00-330 Warszawa</w:t>
            </w:r>
          </w:p>
        </w:tc>
        <w:tc>
          <w:tcPr>
            <w:tcW w:w="1898" w:type="dxa"/>
            <w:tcBorders>
              <w:top w:val="nil"/>
              <w:left w:val="nil"/>
              <w:bottom w:val="single" w:sz="4" w:space="0" w:color="auto"/>
              <w:right w:val="single" w:sz="4" w:space="0" w:color="auto"/>
            </w:tcBorders>
            <w:noWrap/>
            <w:vAlign w:val="center"/>
            <w:hideMark/>
          </w:tcPr>
          <w:p w14:paraId="3231493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000325713-00087</w:t>
            </w:r>
          </w:p>
        </w:tc>
      </w:tr>
      <w:tr w:rsidR="00A52470" w:rsidRPr="00AF615E" w14:paraId="7B0AAAAD"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70BB603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12</w:t>
            </w:r>
          </w:p>
        </w:tc>
        <w:tc>
          <w:tcPr>
            <w:tcW w:w="3922" w:type="dxa"/>
            <w:tcBorders>
              <w:top w:val="nil"/>
              <w:left w:val="nil"/>
              <w:bottom w:val="single" w:sz="4" w:space="0" w:color="auto"/>
              <w:right w:val="single" w:sz="4" w:space="0" w:color="auto"/>
            </w:tcBorders>
            <w:vAlign w:val="center"/>
            <w:hideMark/>
          </w:tcPr>
          <w:p w14:paraId="5F675FE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Archiwum Nauki PAN i PAU w Krakowie</w:t>
            </w:r>
          </w:p>
          <w:p w14:paraId="1BD6B15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Archiwum PAN w Krakowie)</w:t>
            </w:r>
          </w:p>
        </w:tc>
        <w:tc>
          <w:tcPr>
            <w:tcW w:w="3580" w:type="dxa"/>
            <w:tcBorders>
              <w:top w:val="nil"/>
              <w:left w:val="nil"/>
              <w:bottom w:val="single" w:sz="4" w:space="0" w:color="auto"/>
              <w:right w:val="single" w:sz="4" w:space="0" w:color="auto"/>
            </w:tcBorders>
            <w:vAlign w:val="center"/>
            <w:hideMark/>
          </w:tcPr>
          <w:p w14:paraId="165DB4E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Sławkowska 17, 31-016 Kraków</w:t>
            </w:r>
          </w:p>
        </w:tc>
        <w:tc>
          <w:tcPr>
            <w:tcW w:w="1898" w:type="dxa"/>
            <w:tcBorders>
              <w:top w:val="nil"/>
              <w:left w:val="nil"/>
              <w:bottom w:val="single" w:sz="4" w:space="0" w:color="auto"/>
              <w:right w:val="single" w:sz="4" w:space="0" w:color="auto"/>
            </w:tcBorders>
            <w:noWrap/>
            <w:vAlign w:val="center"/>
            <w:hideMark/>
          </w:tcPr>
          <w:p w14:paraId="23F14C5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000325713-00141</w:t>
            </w:r>
          </w:p>
        </w:tc>
      </w:tr>
      <w:tr w:rsidR="00A52470" w:rsidRPr="00AF615E" w14:paraId="36060ADF"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63429F7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13</w:t>
            </w:r>
          </w:p>
        </w:tc>
        <w:tc>
          <w:tcPr>
            <w:tcW w:w="3922" w:type="dxa"/>
            <w:tcBorders>
              <w:top w:val="nil"/>
              <w:left w:val="nil"/>
              <w:bottom w:val="single" w:sz="4" w:space="0" w:color="auto"/>
              <w:right w:val="single" w:sz="4" w:space="0" w:color="auto"/>
            </w:tcBorders>
            <w:vAlign w:val="center"/>
            <w:hideMark/>
          </w:tcPr>
          <w:p w14:paraId="0DEC725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Ichtiobiologii i Gospodarki Rybackiej w Gołyszu</w:t>
            </w:r>
          </w:p>
          <w:p w14:paraId="42EC6DB2" w14:textId="77777777" w:rsidR="00A52470" w:rsidRPr="00AF615E" w:rsidRDefault="00A52470">
            <w:pPr>
              <w:spacing w:line="360" w:lineRule="auto"/>
              <w:rPr>
                <w:rFonts w:ascii="Bookman Old Style" w:hAnsi="Bookman Old Style" w:cs="Tahoma"/>
                <w:i/>
                <w:color w:val="000000"/>
              </w:rPr>
            </w:pPr>
            <w:r w:rsidRPr="00AF615E">
              <w:rPr>
                <w:rFonts w:ascii="Bookman Old Style" w:hAnsi="Bookman Old Style" w:cs="Tahoma"/>
                <w:i/>
                <w:color w:val="000000"/>
              </w:rPr>
              <w:t>(dalej zwany ZIiGR w Gołyszu)</w:t>
            </w:r>
          </w:p>
        </w:tc>
        <w:tc>
          <w:tcPr>
            <w:tcW w:w="3580" w:type="dxa"/>
            <w:tcBorders>
              <w:top w:val="nil"/>
              <w:left w:val="nil"/>
              <w:bottom w:val="single" w:sz="4" w:space="0" w:color="auto"/>
              <w:right w:val="single" w:sz="4" w:space="0" w:color="auto"/>
            </w:tcBorders>
            <w:vAlign w:val="center"/>
            <w:hideMark/>
          </w:tcPr>
          <w:p w14:paraId="03390E93"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Kalinowa 2, 43-520 Zaborze</w:t>
            </w:r>
          </w:p>
        </w:tc>
        <w:tc>
          <w:tcPr>
            <w:tcW w:w="1898" w:type="dxa"/>
            <w:tcBorders>
              <w:top w:val="nil"/>
              <w:left w:val="nil"/>
              <w:bottom w:val="single" w:sz="4" w:space="0" w:color="auto"/>
              <w:right w:val="single" w:sz="4" w:space="0" w:color="auto"/>
            </w:tcBorders>
            <w:vAlign w:val="center"/>
            <w:hideMark/>
          </w:tcPr>
          <w:p w14:paraId="3EF0C6C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000325713-00110</w:t>
            </w:r>
          </w:p>
        </w:tc>
      </w:tr>
      <w:tr w:rsidR="00A52470" w:rsidRPr="00AF615E" w14:paraId="0B04CA86"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20DBEA4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14</w:t>
            </w:r>
          </w:p>
        </w:tc>
        <w:tc>
          <w:tcPr>
            <w:tcW w:w="3922" w:type="dxa"/>
            <w:tcBorders>
              <w:top w:val="nil"/>
              <w:left w:val="nil"/>
              <w:bottom w:val="single" w:sz="4" w:space="0" w:color="auto"/>
              <w:right w:val="single" w:sz="4" w:space="0" w:color="auto"/>
            </w:tcBorders>
            <w:vAlign w:val="center"/>
            <w:hideMark/>
          </w:tcPr>
          <w:p w14:paraId="2FB844E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Polska Akademia Nauk Ogród Botaniczny - Centrum </w:t>
            </w:r>
            <w:r w:rsidRPr="00AF615E">
              <w:rPr>
                <w:rFonts w:ascii="Bookman Old Style" w:hAnsi="Bookman Old Style" w:cs="Tahoma"/>
                <w:color w:val="000000"/>
              </w:rPr>
              <w:lastRenderedPageBreak/>
              <w:t>Zachowania Różnorodności Biologicznej w Powsinie</w:t>
            </w:r>
          </w:p>
          <w:p w14:paraId="4B38C70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Ogród Botaniczny)</w:t>
            </w:r>
          </w:p>
        </w:tc>
        <w:tc>
          <w:tcPr>
            <w:tcW w:w="3580" w:type="dxa"/>
            <w:tcBorders>
              <w:top w:val="nil"/>
              <w:left w:val="nil"/>
              <w:bottom w:val="single" w:sz="4" w:space="0" w:color="auto"/>
              <w:right w:val="single" w:sz="4" w:space="0" w:color="auto"/>
            </w:tcBorders>
            <w:vAlign w:val="center"/>
            <w:hideMark/>
          </w:tcPr>
          <w:p w14:paraId="5C37772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lastRenderedPageBreak/>
              <w:t>ul. Prawdziwka 2, 02-973 Warszawa</w:t>
            </w:r>
          </w:p>
        </w:tc>
        <w:tc>
          <w:tcPr>
            <w:tcW w:w="1898" w:type="dxa"/>
            <w:tcBorders>
              <w:top w:val="nil"/>
              <w:left w:val="nil"/>
              <w:bottom w:val="single" w:sz="4" w:space="0" w:color="auto"/>
              <w:right w:val="single" w:sz="4" w:space="0" w:color="auto"/>
            </w:tcBorders>
            <w:vAlign w:val="center"/>
            <w:hideMark/>
          </w:tcPr>
          <w:p w14:paraId="56E42FA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000325713-00173</w:t>
            </w:r>
          </w:p>
        </w:tc>
      </w:tr>
      <w:tr w:rsidR="00A52470" w:rsidRPr="00AF615E" w14:paraId="625BDB73" w14:textId="77777777" w:rsidTr="00A52470">
        <w:trPr>
          <w:trHeight w:val="630"/>
        </w:trPr>
        <w:tc>
          <w:tcPr>
            <w:tcW w:w="518" w:type="dxa"/>
            <w:tcBorders>
              <w:top w:val="nil"/>
              <w:left w:val="single" w:sz="4" w:space="0" w:color="auto"/>
              <w:bottom w:val="single" w:sz="4" w:space="0" w:color="auto"/>
              <w:right w:val="single" w:sz="4" w:space="0" w:color="auto"/>
            </w:tcBorders>
            <w:noWrap/>
            <w:vAlign w:val="center"/>
            <w:hideMark/>
          </w:tcPr>
          <w:p w14:paraId="51DA3AA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15</w:t>
            </w:r>
          </w:p>
        </w:tc>
        <w:tc>
          <w:tcPr>
            <w:tcW w:w="3922" w:type="dxa"/>
            <w:tcBorders>
              <w:top w:val="nil"/>
              <w:left w:val="nil"/>
              <w:bottom w:val="single" w:sz="4" w:space="0" w:color="auto"/>
              <w:right w:val="single" w:sz="4" w:space="0" w:color="auto"/>
            </w:tcBorders>
            <w:vAlign w:val="center"/>
            <w:hideMark/>
          </w:tcPr>
          <w:p w14:paraId="3C0875C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Polski Instytut Studiów Zaawansowanych PIASt</w:t>
            </w:r>
          </w:p>
          <w:p w14:paraId="2B9A2E3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PIASt)</w:t>
            </w:r>
          </w:p>
        </w:tc>
        <w:tc>
          <w:tcPr>
            <w:tcW w:w="3580" w:type="dxa"/>
            <w:tcBorders>
              <w:top w:val="nil"/>
              <w:left w:val="nil"/>
              <w:bottom w:val="single" w:sz="4" w:space="0" w:color="auto"/>
              <w:right w:val="single" w:sz="4" w:space="0" w:color="auto"/>
            </w:tcBorders>
            <w:vAlign w:val="center"/>
            <w:hideMark/>
          </w:tcPr>
          <w:p w14:paraId="54EC3AF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Jaracza 1, 00-378 Warszawa</w:t>
            </w:r>
          </w:p>
        </w:tc>
        <w:tc>
          <w:tcPr>
            <w:tcW w:w="1898" w:type="dxa"/>
            <w:tcBorders>
              <w:top w:val="nil"/>
              <w:left w:val="nil"/>
              <w:bottom w:val="single" w:sz="4" w:space="0" w:color="auto"/>
              <w:right w:val="single" w:sz="4" w:space="0" w:color="auto"/>
            </w:tcBorders>
            <w:vAlign w:val="center"/>
            <w:hideMark/>
          </w:tcPr>
          <w:p w14:paraId="059FE68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000325713-00252</w:t>
            </w:r>
          </w:p>
        </w:tc>
      </w:tr>
      <w:tr w:rsidR="00A52470" w:rsidRPr="00AF615E" w14:paraId="70C004AB"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78FEC82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16</w:t>
            </w:r>
          </w:p>
        </w:tc>
        <w:tc>
          <w:tcPr>
            <w:tcW w:w="3922" w:type="dxa"/>
            <w:tcBorders>
              <w:top w:val="nil"/>
              <w:left w:val="nil"/>
              <w:bottom w:val="single" w:sz="4" w:space="0" w:color="auto"/>
              <w:right w:val="single" w:sz="4" w:space="0" w:color="auto"/>
            </w:tcBorders>
            <w:vAlign w:val="center"/>
            <w:hideMark/>
          </w:tcPr>
          <w:p w14:paraId="615095C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Dom Rencisty im. Witolda Orłowskiego w Konstancinie</w:t>
            </w:r>
          </w:p>
          <w:p w14:paraId="6B8E831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Dom Rencisty)</w:t>
            </w:r>
          </w:p>
        </w:tc>
        <w:tc>
          <w:tcPr>
            <w:tcW w:w="3580" w:type="dxa"/>
            <w:tcBorders>
              <w:top w:val="nil"/>
              <w:left w:val="nil"/>
              <w:bottom w:val="single" w:sz="4" w:space="0" w:color="auto"/>
              <w:right w:val="single" w:sz="4" w:space="0" w:color="auto"/>
            </w:tcBorders>
            <w:vAlign w:val="center"/>
            <w:hideMark/>
          </w:tcPr>
          <w:p w14:paraId="554862CC"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Jana Karola Chodkiewicza 3, 05-510 Konstancin Jeziorna</w:t>
            </w:r>
          </w:p>
        </w:tc>
        <w:tc>
          <w:tcPr>
            <w:tcW w:w="1898" w:type="dxa"/>
            <w:tcBorders>
              <w:top w:val="nil"/>
              <w:left w:val="nil"/>
              <w:bottom w:val="single" w:sz="4" w:space="0" w:color="auto"/>
              <w:right w:val="single" w:sz="4" w:space="0" w:color="auto"/>
            </w:tcBorders>
            <w:vAlign w:val="center"/>
            <w:hideMark/>
          </w:tcPr>
          <w:p w14:paraId="55030AB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000325713-00180</w:t>
            </w:r>
          </w:p>
        </w:tc>
      </w:tr>
      <w:tr w:rsidR="00A52470" w:rsidRPr="00AF615E" w14:paraId="7111B9C9"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18018A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17</w:t>
            </w:r>
          </w:p>
        </w:tc>
        <w:tc>
          <w:tcPr>
            <w:tcW w:w="3922" w:type="dxa"/>
            <w:tcBorders>
              <w:top w:val="nil"/>
              <w:left w:val="nil"/>
              <w:bottom w:val="single" w:sz="4" w:space="0" w:color="auto"/>
              <w:right w:val="single" w:sz="4" w:space="0" w:color="auto"/>
            </w:tcBorders>
            <w:vAlign w:val="center"/>
            <w:hideMark/>
          </w:tcPr>
          <w:p w14:paraId="7A3F3E6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Dom Pracy Twórczej w Wierzbie</w:t>
            </w:r>
          </w:p>
          <w:p w14:paraId="6749A69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DPT w Wierzbie)</w:t>
            </w:r>
          </w:p>
        </w:tc>
        <w:tc>
          <w:tcPr>
            <w:tcW w:w="3580" w:type="dxa"/>
            <w:tcBorders>
              <w:top w:val="nil"/>
              <w:left w:val="nil"/>
              <w:bottom w:val="single" w:sz="4" w:space="0" w:color="auto"/>
              <w:right w:val="single" w:sz="4" w:space="0" w:color="auto"/>
            </w:tcBorders>
            <w:noWrap/>
            <w:vAlign w:val="center"/>
            <w:hideMark/>
          </w:tcPr>
          <w:p w14:paraId="0F880EE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Wierzba 7, 12-220 Ruciane-Nida</w:t>
            </w:r>
          </w:p>
        </w:tc>
        <w:tc>
          <w:tcPr>
            <w:tcW w:w="1898" w:type="dxa"/>
            <w:tcBorders>
              <w:top w:val="nil"/>
              <w:left w:val="nil"/>
              <w:bottom w:val="single" w:sz="4" w:space="0" w:color="auto"/>
              <w:right w:val="single" w:sz="4" w:space="0" w:color="auto"/>
            </w:tcBorders>
            <w:noWrap/>
            <w:vAlign w:val="center"/>
            <w:hideMark/>
          </w:tcPr>
          <w:p w14:paraId="71AF671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000325713-00206</w:t>
            </w:r>
          </w:p>
        </w:tc>
      </w:tr>
      <w:tr w:rsidR="00A52470" w:rsidRPr="00AF615E" w14:paraId="3B5E1C08"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5011404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18</w:t>
            </w:r>
          </w:p>
        </w:tc>
        <w:tc>
          <w:tcPr>
            <w:tcW w:w="3922" w:type="dxa"/>
            <w:tcBorders>
              <w:top w:val="nil"/>
              <w:left w:val="nil"/>
              <w:bottom w:val="single" w:sz="4" w:space="0" w:color="auto"/>
              <w:right w:val="single" w:sz="4" w:space="0" w:color="auto"/>
            </w:tcBorders>
            <w:vAlign w:val="center"/>
            <w:hideMark/>
          </w:tcPr>
          <w:p w14:paraId="40DC42D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Dom Zjazdów i Konferencji w Jabłonnie</w:t>
            </w:r>
          </w:p>
          <w:p w14:paraId="5CFD9B9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DZiK w Jabłonnie)</w:t>
            </w:r>
          </w:p>
        </w:tc>
        <w:tc>
          <w:tcPr>
            <w:tcW w:w="3580" w:type="dxa"/>
            <w:tcBorders>
              <w:top w:val="nil"/>
              <w:left w:val="nil"/>
              <w:bottom w:val="single" w:sz="4" w:space="0" w:color="auto"/>
              <w:right w:val="single" w:sz="4" w:space="0" w:color="auto"/>
            </w:tcBorders>
            <w:vAlign w:val="center"/>
            <w:hideMark/>
          </w:tcPr>
          <w:p w14:paraId="08467CAC"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Modlińska 105, 05-110 Jabłonna</w:t>
            </w:r>
          </w:p>
        </w:tc>
        <w:tc>
          <w:tcPr>
            <w:tcW w:w="1898" w:type="dxa"/>
            <w:tcBorders>
              <w:top w:val="nil"/>
              <w:left w:val="nil"/>
              <w:bottom w:val="single" w:sz="4" w:space="0" w:color="auto"/>
              <w:right w:val="single" w:sz="4" w:space="0" w:color="auto"/>
            </w:tcBorders>
            <w:noWrap/>
            <w:vAlign w:val="center"/>
            <w:hideMark/>
          </w:tcPr>
          <w:p w14:paraId="1329884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000325713-00159</w:t>
            </w:r>
          </w:p>
        </w:tc>
      </w:tr>
      <w:tr w:rsidR="00A52470" w:rsidRPr="00AF615E" w14:paraId="1121D8FC"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24662BA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19</w:t>
            </w:r>
          </w:p>
        </w:tc>
        <w:tc>
          <w:tcPr>
            <w:tcW w:w="3922" w:type="dxa"/>
            <w:tcBorders>
              <w:top w:val="nil"/>
              <w:left w:val="nil"/>
              <w:bottom w:val="single" w:sz="4" w:space="0" w:color="auto"/>
              <w:right w:val="single" w:sz="4" w:space="0" w:color="auto"/>
            </w:tcBorders>
            <w:vAlign w:val="center"/>
            <w:hideMark/>
          </w:tcPr>
          <w:p w14:paraId="7EA4BFB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Działalności Pomocniczej w Warszawie</w:t>
            </w:r>
          </w:p>
          <w:p w14:paraId="115ABAF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ZDP w Warszawie)</w:t>
            </w:r>
          </w:p>
        </w:tc>
        <w:tc>
          <w:tcPr>
            <w:tcW w:w="3580" w:type="dxa"/>
            <w:tcBorders>
              <w:top w:val="nil"/>
              <w:left w:val="nil"/>
              <w:bottom w:val="single" w:sz="4" w:space="0" w:color="auto"/>
              <w:right w:val="single" w:sz="4" w:space="0" w:color="auto"/>
            </w:tcBorders>
            <w:vAlign w:val="center"/>
            <w:hideMark/>
          </w:tcPr>
          <w:p w14:paraId="60C3BBFF"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Nowy Świat 72, 00-330 Warszawa</w:t>
            </w:r>
          </w:p>
        </w:tc>
        <w:tc>
          <w:tcPr>
            <w:tcW w:w="1898" w:type="dxa"/>
            <w:tcBorders>
              <w:top w:val="nil"/>
              <w:left w:val="nil"/>
              <w:bottom w:val="single" w:sz="4" w:space="0" w:color="auto"/>
              <w:right w:val="single" w:sz="4" w:space="0" w:color="auto"/>
            </w:tcBorders>
            <w:vAlign w:val="center"/>
            <w:hideMark/>
          </w:tcPr>
          <w:p w14:paraId="501001C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000325713-00127</w:t>
            </w:r>
          </w:p>
        </w:tc>
      </w:tr>
      <w:tr w:rsidR="00A52470" w:rsidRPr="00AF615E" w14:paraId="38FCB908"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5A8E084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20</w:t>
            </w:r>
          </w:p>
        </w:tc>
        <w:tc>
          <w:tcPr>
            <w:tcW w:w="3922" w:type="dxa"/>
            <w:tcBorders>
              <w:top w:val="nil"/>
              <w:left w:val="nil"/>
              <w:bottom w:val="single" w:sz="4" w:space="0" w:color="auto"/>
              <w:right w:val="single" w:sz="4" w:space="0" w:color="auto"/>
            </w:tcBorders>
            <w:vAlign w:val="center"/>
            <w:hideMark/>
          </w:tcPr>
          <w:p w14:paraId="15E03F46"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Doświadczalny w Kórniku</w:t>
            </w:r>
          </w:p>
          <w:p w14:paraId="56E80BB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ZD w Kórniku)</w:t>
            </w:r>
          </w:p>
        </w:tc>
        <w:tc>
          <w:tcPr>
            <w:tcW w:w="3580" w:type="dxa"/>
            <w:tcBorders>
              <w:top w:val="nil"/>
              <w:left w:val="nil"/>
              <w:bottom w:val="single" w:sz="4" w:space="0" w:color="auto"/>
              <w:right w:val="single" w:sz="4" w:space="0" w:color="auto"/>
            </w:tcBorders>
            <w:vAlign w:val="center"/>
            <w:hideMark/>
          </w:tcPr>
          <w:p w14:paraId="1F172B0D"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Średzka 20, 62-035 Kórnik</w:t>
            </w:r>
          </w:p>
        </w:tc>
        <w:tc>
          <w:tcPr>
            <w:tcW w:w="1898" w:type="dxa"/>
            <w:tcBorders>
              <w:top w:val="nil"/>
              <w:left w:val="nil"/>
              <w:bottom w:val="single" w:sz="4" w:space="0" w:color="auto"/>
              <w:right w:val="single" w:sz="4" w:space="0" w:color="auto"/>
            </w:tcBorders>
            <w:noWrap/>
            <w:vAlign w:val="center"/>
            <w:hideMark/>
          </w:tcPr>
          <w:p w14:paraId="56DB5FF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000325713-00023</w:t>
            </w:r>
          </w:p>
        </w:tc>
      </w:tr>
      <w:tr w:rsidR="00A52470" w:rsidRPr="00AF615E" w14:paraId="0AE5315F"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525333E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21</w:t>
            </w:r>
          </w:p>
        </w:tc>
        <w:tc>
          <w:tcPr>
            <w:tcW w:w="3922" w:type="dxa"/>
            <w:tcBorders>
              <w:top w:val="nil"/>
              <w:left w:val="nil"/>
              <w:bottom w:val="single" w:sz="4" w:space="0" w:color="auto"/>
              <w:right w:val="single" w:sz="4" w:space="0" w:color="auto"/>
            </w:tcBorders>
            <w:vAlign w:val="center"/>
            <w:hideMark/>
          </w:tcPr>
          <w:p w14:paraId="5CFA45F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Zespół Gospodarczy</w:t>
            </w:r>
          </w:p>
        </w:tc>
        <w:tc>
          <w:tcPr>
            <w:tcW w:w="3580" w:type="dxa"/>
            <w:tcBorders>
              <w:top w:val="nil"/>
              <w:left w:val="nil"/>
              <w:bottom w:val="single" w:sz="4" w:space="0" w:color="auto"/>
              <w:right w:val="single" w:sz="4" w:space="0" w:color="auto"/>
            </w:tcBorders>
            <w:vAlign w:val="center"/>
            <w:hideMark/>
          </w:tcPr>
          <w:p w14:paraId="085BA912"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3F71C6D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0F6D12FD"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5A3BD2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22</w:t>
            </w:r>
          </w:p>
        </w:tc>
        <w:tc>
          <w:tcPr>
            <w:tcW w:w="3922" w:type="dxa"/>
            <w:tcBorders>
              <w:top w:val="nil"/>
              <w:left w:val="nil"/>
              <w:bottom w:val="single" w:sz="4" w:space="0" w:color="auto"/>
              <w:right w:val="single" w:sz="4" w:space="0" w:color="auto"/>
            </w:tcBorders>
            <w:vAlign w:val="center"/>
            <w:hideMark/>
          </w:tcPr>
          <w:p w14:paraId="459BC75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Wrocław</w:t>
            </w:r>
          </w:p>
        </w:tc>
        <w:tc>
          <w:tcPr>
            <w:tcW w:w="3580" w:type="dxa"/>
            <w:tcBorders>
              <w:top w:val="nil"/>
              <w:left w:val="nil"/>
              <w:bottom w:val="single" w:sz="4" w:space="0" w:color="auto"/>
              <w:right w:val="single" w:sz="4" w:space="0" w:color="auto"/>
            </w:tcBorders>
            <w:noWrap/>
            <w:vAlign w:val="center"/>
            <w:hideMark/>
          </w:tcPr>
          <w:p w14:paraId="043A8C4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Podwale 75, 50-449 Wrocław</w:t>
            </w:r>
          </w:p>
        </w:tc>
        <w:tc>
          <w:tcPr>
            <w:tcW w:w="1898" w:type="dxa"/>
            <w:tcBorders>
              <w:top w:val="nil"/>
              <w:left w:val="nil"/>
              <w:bottom w:val="single" w:sz="4" w:space="0" w:color="auto"/>
              <w:right w:val="single" w:sz="4" w:space="0" w:color="auto"/>
            </w:tcBorders>
            <w:noWrap/>
            <w:vAlign w:val="center"/>
            <w:hideMark/>
          </w:tcPr>
          <w:p w14:paraId="552534F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09E6D29"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667E3D0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23</w:t>
            </w:r>
          </w:p>
        </w:tc>
        <w:tc>
          <w:tcPr>
            <w:tcW w:w="3922" w:type="dxa"/>
            <w:tcBorders>
              <w:top w:val="nil"/>
              <w:left w:val="nil"/>
              <w:bottom w:val="single" w:sz="4" w:space="0" w:color="auto"/>
              <w:right w:val="single" w:sz="4" w:space="0" w:color="auto"/>
            </w:tcBorders>
            <w:vAlign w:val="center"/>
            <w:hideMark/>
          </w:tcPr>
          <w:p w14:paraId="13F88D4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Gdańsk</w:t>
            </w:r>
          </w:p>
        </w:tc>
        <w:tc>
          <w:tcPr>
            <w:tcW w:w="3580" w:type="dxa"/>
            <w:tcBorders>
              <w:top w:val="nil"/>
              <w:left w:val="nil"/>
              <w:bottom w:val="single" w:sz="4" w:space="0" w:color="auto"/>
              <w:right w:val="single" w:sz="4" w:space="0" w:color="auto"/>
            </w:tcBorders>
            <w:noWrap/>
            <w:vAlign w:val="center"/>
            <w:hideMark/>
          </w:tcPr>
          <w:p w14:paraId="41501B0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św. Jana 28, 31-018 Kraków</w:t>
            </w:r>
          </w:p>
        </w:tc>
        <w:tc>
          <w:tcPr>
            <w:tcW w:w="1898" w:type="dxa"/>
            <w:tcBorders>
              <w:top w:val="nil"/>
              <w:left w:val="nil"/>
              <w:bottom w:val="single" w:sz="4" w:space="0" w:color="auto"/>
              <w:right w:val="single" w:sz="4" w:space="0" w:color="auto"/>
            </w:tcBorders>
            <w:noWrap/>
            <w:vAlign w:val="center"/>
            <w:hideMark/>
          </w:tcPr>
          <w:p w14:paraId="3928E32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660F3D6D"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08CEA79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24</w:t>
            </w:r>
          </w:p>
        </w:tc>
        <w:tc>
          <w:tcPr>
            <w:tcW w:w="3922" w:type="dxa"/>
            <w:tcBorders>
              <w:top w:val="nil"/>
              <w:left w:val="nil"/>
              <w:bottom w:val="single" w:sz="4" w:space="0" w:color="auto"/>
              <w:right w:val="single" w:sz="4" w:space="0" w:color="auto"/>
            </w:tcBorders>
            <w:vAlign w:val="center"/>
            <w:hideMark/>
          </w:tcPr>
          <w:p w14:paraId="7B013DA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Kraków</w:t>
            </w:r>
          </w:p>
        </w:tc>
        <w:tc>
          <w:tcPr>
            <w:tcW w:w="3580" w:type="dxa"/>
            <w:tcBorders>
              <w:top w:val="nil"/>
              <w:left w:val="nil"/>
              <w:bottom w:val="single" w:sz="4" w:space="0" w:color="auto"/>
              <w:right w:val="single" w:sz="4" w:space="0" w:color="auto"/>
            </w:tcBorders>
            <w:vAlign w:val="center"/>
            <w:hideMark/>
          </w:tcPr>
          <w:p w14:paraId="79A60C2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Jaśkowa Dolina 31, 80-286 Gdańsk</w:t>
            </w:r>
          </w:p>
        </w:tc>
        <w:tc>
          <w:tcPr>
            <w:tcW w:w="1898" w:type="dxa"/>
            <w:tcBorders>
              <w:top w:val="nil"/>
              <w:left w:val="nil"/>
              <w:bottom w:val="single" w:sz="4" w:space="0" w:color="auto"/>
              <w:right w:val="single" w:sz="4" w:space="0" w:color="auto"/>
            </w:tcBorders>
            <w:noWrap/>
            <w:vAlign w:val="center"/>
            <w:hideMark/>
          </w:tcPr>
          <w:p w14:paraId="722DE74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3F49B493"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71B4714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25</w:t>
            </w:r>
          </w:p>
        </w:tc>
        <w:tc>
          <w:tcPr>
            <w:tcW w:w="3922" w:type="dxa"/>
            <w:tcBorders>
              <w:top w:val="nil"/>
              <w:left w:val="nil"/>
              <w:bottom w:val="single" w:sz="4" w:space="0" w:color="auto"/>
              <w:right w:val="single" w:sz="4" w:space="0" w:color="auto"/>
            </w:tcBorders>
            <w:vAlign w:val="center"/>
            <w:hideMark/>
          </w:tcPr>
          <w:p w14:paraId="326BE76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Poznań</w:t>
            </w:r>
          </w:p>
        </w:tc>
        <w:tc>
          <w:tcPr>
            <w:tcW w:w="3580" w:type="dxa"/>
            <w:tcBorders>
              <w:top w:val="nil"/>
              <w:left w:val="nil"/>
              <w:bottom w:val="single" w:sz="4" w:space="0" w:color="auto"/>
              <w:right w:val="single" w:sz="4" w:space="0" w:color="auto"/>
            </w:tcBorders>
            <w:noWrap/>
            <w:vAlign w:val="center"/>
            <w:hideMark/>
          </w:tcPr>
          <w:p w14:paraId="709A00A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H. Wieniawskiego 17/19, 61-713 Poznań</w:t>
            </w:r>
          </w:p>
        </w:tc>
        <w:tc>
          <w:tcPr>
            <w:tcW w:w="1898" w:type="dxa"/>
            <w:tcBorders>
              <w:top w:val="nil"/>
              <w:left w:val="nil"/>
              <w:bottom w:val="single" w:sz="4" w:space="0" w:color="auto"/>
              <w:right w:val="single" w:sz="4" w:space="0" w:color="auto"/>
            </w:tcBorders>
            <w:noWrap/>
            <w:vAlign w:val="center"/>
            <w:hideMark/>
          </w:tcPr>
          <w:p w14:paraId="5F1838D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007910F0"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09A139C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26</w:t>
            </w:r>
          </w:p>
        </w:tc>
        <w:tc>
          <w:tcPr>
            <w:tcW w:w="3922" w:type="dxa"/>
            <w:tcBorders>
              <w:top w:val="nil"/>
              <w:left w:val="nil"/>
              <w:bottom w:val="single" w:sz="4" w:space="0" w:color="auto"/>
              <w:right w:val="single" w:sz="4" w:space="0" w:color="auto"/>
            </w:tcBorders>
            <w:vAlign w:val="center"/>
            <w:hideMark/>
          </w:tcPr>
          <w:p w14:paraId="093260F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Łódź</w:t>
            </w:r>
          </w:p>
        </w:tc>
        <w:tc>
          <w:tcPr>
            <w:tcW w:w="3580" w:type="dxa"/>
            <w:tcBorders>
              <w:top w:val="nil"/>
              <w:left w:val="nil"/>
              <w:bottom w:val="single" w:sz="4" w:space="0" w:color="auto"/>
              <w:right w:val="single" w:sz="4" w:space="0" w:color="auto"/>
            </w:tcBorders>
            <w:noWrap/>
            <w:vAlign w:val="center"/>
            <w:hideMark/>
          </w:tcPr>
          <w:p w14:paraId="6CBF674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Piotrkowska 137/139, 90-434 Łódź,</w:t>
            </w:r>
          </w:p>
        </w:tc>
        <w:tc>
          <w:tcPr>
            <w:tcW w:w="1898" w:type="dxa"/>
            <w:tcBorders>
              <w:top w:val="nil"/>
              <w:left w:val="nil"/>
              <w:bottom w:val="single" w:sz="4" w:space="0" w:color="auto"/>
              <w:right w:val="single" w:sz="4" w:space="0" w:color="auto"/>
            </w:tcBorders>
            <w:noWrap/>
            <w:vAlign w:val="center"/>
            <w:hideMark/>
          </w:tcPr>
          <w:p w14:paraId="05EA16CB"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1B424B64"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3F8B7A9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27</w:t>
            </w:r>
          </w:p>
        </w:tc>
        <w:tc>
          <w:tcPr>
            <w:tcW w:w="3922" w:type="dxa"/>
            <w:tcBorders>
              <w:top w:val="nil"/>
              <w:left w:val="nil"/>
              <w:bottom w:val="single" w:sz="4" w:space="0" w:color="auto"/>
              <w:right w:val="single" w:sz="4" w:space="0" w:color="auto"/>
            </w:tcBorders>
            <w:vAlign w:val="center"/>
            <w:hideMark/>
          </w:tcPr>
          <w:p w14:paraId="64EABD8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Katowice</w:t>
            </w:r>
          </w:p>
        </w:tc>
        <w:tc>
          <w:tcPr>
            <w:tcW w:w="3580" w:type="dxa"/>
            <w:tcBorders>
              <w:top w:val="nil"/>
              <w:left w:val="nil"/>
              <w:bottom w:val="single" w:sz="4" w:space="0" w:color="auto"/>
              <w:right w:val="single" w:sz="4" w:space="0" w:color="auto"/>
            </w:tcBorders>
            <w:vAlign w:val="center"/>
            <w:hideMark/>
          </w:tcPr>
          <w:p w14:paraId="1C76FFED"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Krasińskiego 8, 40-019 Katowice</w:t>
            </w:r>
          </w:p>
        </w:tc>
        <w:tc>
          <w:tcPr>
            <w:tcW w:w="1898" w:type="dxa"/>
            <w:tcBorders>
              <w:top w:val="nil"/>
              <w:left w:val="nil"/>
              <w:bottom w:val="single" w:sz="4" w:space="0" w:color="auto"/>
              <w:right w:val="single" w:sz="4" w:space="0" w:color="auto"/>
            </w:tcBorders>
            <w:noWrap/>
            <w:vAlign w:val="center"/>
            <w:hideMark/>
          </w:tcPr>
          <w:p w14:paraId="1C44ECE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D5EB671"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5953088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28</w:t>
            </w:r>
          </w:p>
        </w:tc>
        <w:tc>
          <w:tcPr>
            <w:tcW w:w="3922" w:type="dxa"/>
            <w:tcBorders>
              <w:top w:val="nil"/>
              <w:left w:val="nil"/>
              <w:bottom w:val="single" w:sz="4" w:space="0" w:color="auto"/>
              <w:right w:val="single" w:sz="4" w:space="0" w:color="auto"/>
            </w:tcBorders>
            <w:vAlign w:val="center"/>
            <w:hideMark/>
          </w:tcPr>
          <w:p w14:paraId="617A1A26"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Olsztyn i Białystok</w:t>
            </w:r>
          </w:p>
        </w:tc>
        <w:tc>
          <w:tcPr>
            <w:tcW w:w="3580" w:type="dxa"/>
            <w:tcBorders>
              <w:top w:val="nil"/>
              <w:left w:val="nil"/>
              <w:bottom w:val="single" w:sz="4" w:space="0" w:color="auto"/>
              <w:right w:val="single" w:sz="4" w:space="0" w:color="auto"/>
            </w:tcBorders>
            <w:vAlign w:val="center"/>
            <w:hideMark/>
          </w:tcPr>
          <w:p w14:paraId="244A031E"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Partyzantów 87, 10-402 Olsztyn</w:t>
            </w:r>
          </w:p>
        </w:tc>
        <w:tc>
          <w:tcPr>
            <w:tcW w:w="1898" w:type="dxa"/>
            <w:tcBorders>
              <w:top w:val="nil"/>
              <w:left w:val="nil"/>
              <w:bottom w:val="single" w:sz="4" w:space="0" w:color="auto"/>
              <w:right w:val="single" w:sz="4" w:space="0" w:color="auto"/>
            </w:tcBorders>
            <w:noWrap/>
            <w:vAlign w:val="center"/>
            <w:hideMark/>
          </w:tcPr>
          <w:p w14:paraId="46664B2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0403654"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589F6A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29</w:t>
            </w:r>
          </w:p>
        </w:tc>
        <w:tc>
          <w:tcPr>
            <w:tcW w:w="3922" w:type="dxa"/>
            <w:tcBorders>
              <w:top w:val="nil"/>
              <w:left w:val="nil"/>
              <w:bottom w:val="single" w:sz="4" w:space="0" w:color="auto"/>
              <w:right w:val="single" w:sz="4" w:space="0" w:color="auto"/>
            </w:tcBorders>
            <w:vAlign w:val="center"/>
            <w:hideMark/>
          </w:tcPr>
          <w:p w14:paraId="68C72F57"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Lublin</w:t>
            </w:r>
          </w:p>
        </w:tc>
        <w:tc>
          <w:tcPr>
            <w:tcW w:w="3580" w:type="dxa"/>
            <w:tcBorders>
              <w:top w:val="nil"/>
              <w:left w:val="nil"/>
              <w:bottom w:val="single" w:sz="4" w:space="0" w:color="auto"/>
              <w:right w:val="single" w:sz="4" w:space="0" w:color="auto"/>
            </w:tcBorders>
            <w:vAlign w:val="center"/>
            <w:hideMark/>
          </w:tcPr>
          <w:p w14:paraId="3C7006EE"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Plac Litewski 2, 20-080 Lublin</w:t>
            </w:r>
          </w:p>
        </w:tc>
        <w:tc>
          <w:tcPr>
            <w:tcW w:w="1898" w:type="dxa"/>
            <w:tcBorders>
              <w:top w:val="nil"/>
              <w:left w:val="nil"/>
              <w:bottom w:val="single" w:sz="4" w:space="0" w:color="auto"/>
              <w:right w:val="single" w:sz="4" w:space="0" w:color="auto"/>
            </w:tcBorders>
            <w:noWrap/>
            <w:vAlign w:val="center"/>
            <w:hideMark/>
          </w:tcPr>
          <w:p w14:paraId="30C6A8A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bl>
    <w:p w14:paraId="4A71086F" w14:textId="77777777" w:rsidR="00A52470" w:rsidRPr="00AE3CCC" w:rsidRDefault="00A52470" w:rsidP="00AE3CCC">
      <w:pPr>
        <w:spacing w:after="0" w:line="360" w:lineRule="auto"/>
        <w:jc w:val="both"/>
        <w:rPr>
          <w:rFonts w:ascii="Bookman Old Style" w:hAnsi="Bookman Old Style" w:cs="Tahoma"/>
          <w:b/>
          <w:bCs/>
        </w:rPr>
      </w:pPr>
    </w:p>
    <w:p w14:paraId="6D5D74F2" w14:textId="77777777" w:rsidR="00A52470" w:rsidRPr="00AF615E" w:rsidRDefault="00A52470" w:rsidP="00A52470">
      <w:pPr>
        <w:pStyle w:val="Akapitzlist"/>
        <w:numPr>
          <w:ilvl w:val="0"/>
          <w:numId w:val="4"/>
        </w:numPr>
        <w:rPr>
          <w:rFonts w:ascii="Bookman Old Style" w:hAnsi="Bookman Old Style" w:cs="Tahoma"/>
          <w:b/>
        </w:rPr>
      </w:pPr>
      <w:r w:rsidRPr="00AF615E">
        <w:rPr>
          <w:rFonts w:ascii="Bookman Old Style" w:hAnsi="Bookman Old Style" w:cs="Tahoma"/>
          <w:b/>
        </w:rPr>
        <w:t>Przedmiot ubezpieczenia – Obowiązkowe ubezpieczenie odpowiedzialności cywilnej posiadaczy pojazdów mechanicznych za szkody wyrządzone ruchem tych pojazdów.</w:t>
      </w:r>
    </w:p>
    <w:p w14:paraId="355C53F6" w14:textId="77777777" w:rsidR="00A52470" w:rsidRPr="00AF615E" w:rsidRDefault="00A52470" w:rsidP="00A52470">
      <w:pPr>
        <w:pStyle w:val="Akapitzlist"/>
        <w:ind w:left="473"/>
        <w:rPr>
          <w:rFonts w:ascii="Bookman Old Style" w:hAnsi="Bookman Old Style" w:cs="Tahoma"/>
          <w:b/>
        </w:rPr>
      </w:pPr>
    </w:p>
    <w:p w14:paraId="320DDB83" w14:textId="77777777" w:rsidR="00AE3CCC" w:rsidRPr="00AE3CCC" w:rsidRDefault="00A52470" w:rsidP="00A52470">
      <w:pPr>
        <w:pStyle w:val="Akapitzlist"/>
        <w:numPr>
          <w:ilvl w:val="0"/>
          <w:numId w:val="5"/>
        </w:numPr>
        <w:spacing w:after="0" w:line="360" w:lineRule="auto"/>
        <w:jc w:val="both"/>
        <w:rPr>
          <w:rFonts w:ascii="Bookman Old Style" w:hAnsi="Bookman Old Style" w:cs="Tahoma"/>
          <w:b/>
          <w:bCs/>
        </w:rPr>
      </w:pPr>
      <w:r w:rsidRPr="00AF615E">
        <w:rPr>
          <w:rFonts w:ascii="Bookman Old Style" w:hAnsi="Bookman Old Style" w:cs="Tahoma"/>
          <w:bCs/>
        </w:rPr>
        <w:t>Ochroną ubezpieczeniową zostaną objęte</w:t>
      </w:r>
      <w:r w:rsidR="00AE3CCC">
        <w:rPr>
          <w:rFonts w:ascii="Bookman Old Style" w:hAnsi="Bookman Old Style" w:cs="Tahoma"/>
          <w:bCs/>
        </w:rPr>
        <w:t>:</w:t>
      </w:r>
    </w:p>
    <w:p w14:paraId="58AAED95" w14:textId="77777777" w:rsidR="00AE3CCC" w:rsidRDefault="00A52470" w:rsidP="00AE3CCC">
      <w:pPr>
        <w:pStyle w:val="Akapitzlist"/>
        <w:numPr>
          <w:ilvl w:val="0"/>
          <w:numId w:val="33"/>
        </w:numPr>
        <w:spacing w:after="0" w:line="360" w:lineRule="auto"/>
        <w:jc w:val="both"/>
        <w:rPr>
          <w:rFonts w:ascii="Bookman Old Style" w:hAnsi="Bookman Old Style" w:cs="Tahoma"/>
          <w:bCs/>
        </w:rPr>
      </w:pPr>
      <w:r w:rsidRPr="00AF615E">
        <w:rPr>
          <w:rFonts w:ascii="Bookman Old Style" w:hAnsi="Bookman Old Style" w:cs="Tahoma"/>
          <w:bCs/>
        </w:rPr>
        <w:t>pojazdy należ</w:t>
      </w:r>
      <w:r w:rsidR="00AE3CCC">
        <w:rPr>
          <w:rFonts w:ascii="Bookman Old Style" w:hAnsi="Bookman Old Style" w:cs="Tahoma"/>
          <w:bCs/>
        </w:rPr>
        <w:t xml:space="preserve">ące do Ubezpieczonego wykazane </w:t>
      </w:r>
      <w:r w:rsidRPr="00AF615E">
        <w:rPr>
          <w:rFonts w:ascii="Bookman Old Style" w:hAnsi="Bookman Old Style" w:cs="Tahoma"/>
          <w:bCs/>
        </w:rPr>
        <w:t xml:space="preserve">w </w:t>
      </w:r>
      <w:r w:rsidRPr="00AF615E">
        <w:rPr>
          <w:rFonts w:ascii="Bookman Old Style" w:hAnsi="Bookman Old Style" w:cs="Tahoma"/>
          <w:b/>
          <w:bCs/>
        </w:rPr>
        <w:t xml:space="preserve">załączniku nr 1 do OPZ </w:t>
      </w:r>
      <w:r w:rsidRPr="00AF615E">
        <w:rPr>
          <w:rFonts w:ascii="Bookman Old Style" w:hAnsi="Bookman Old Style" w:cs="Tahoma"/>
          <w:bCs/>
        </w:rPr>
        <w:t xml:space="preserve"> oraz pojazdy, które zostaną zakupione w trakcie obowiązywania Umowy Generalnej w tym będące w posiadaniu Ubezpieczonego na innej podstawie niż tytuł prawny własności (umowy najmu, </w:t>
      </w:r>
      <w:r w:rsidR="00AE3CCC">
        <w:rPr>
          <w:rFonts w:ascii="Bookman Old Style" w:hAnsi="Bookman Old Style" w:cs="Tahoma"/>
          <w:bCs/>
        </w:rPr>
        <w:t>leasingu, dzierżawy, użyczenia);</w:t>
      </w:r>
    </w:p>
    <w:p w14:paraId="3069416D" w14:textId="226BF1B2" w:rsidR="00AE3CCC" w:rsidRPr="00AE3CCC" w:rsidRDefault="00AE3CCC" w:rsidP="00AE3CCC">
      <w:pPr>
        <w:pStyle w:val="Akapitzlist"/>
        <w:numPr>
          <w:ilvl w:val="0"/>
          <w:numId w:val="33"/>
        </w:numPr>
        <w:spacing w:after="0" w:line="360" w:lineRule="auto"/>
        <w:jc w:val="both"/>
        <w:rPr>
          <w:rFonts w:ascii="Bookman Old Style" w:hAnsi="Bookman Old Style" w:cs="Tahoma"/>
          <w:bCs/>
        </w:rPr>
      </w:pPr>
      <w:r w:rsidRPr="00AE3CCC">
        <w:rPr>
          <w:rFonts w:ascii="Bookman Old Style" w:hAnsi="Bookman Old Style" w:cs="Tahoma"/>
          <w:bCs/>
          <w:color w:val="000000" w:themeColor="text1"/>
          <w:lang w:eastAsia="ar-SA"/>
        </w:rPr>
        <w:t>pojazdy bez względu na ich wiek, stan techniczny, czasowe wycofanie z ruchu decyzją administracyjną czy rodzaj rejestrowy pojazdu, w tym w</w:t>
      </w:r>
      <w:r w:rsidR="00AA72C5">
        <w:rPr>
          <w:rFonts w:ascii="Bookman Old Style" w:hAnsi="Bookman Old Style" w:cs="Tahoma"/>
          <w:bCs/>
          <w:color w:val="000000" w:themeColor="text1"/>
          <w:lang w:eastAsia="ar-SA"/>
        </w:rPr>
        <w:t> </w:t>
      </w:r>
      <w:r w:rsidRPr="00AE3CCC">
        <w:rPr>
          <w:rFonts w:ascii="Bookman Old Style" w:hAnsi="Bookman Old Style" w:cs="Tahoma"/>
          <w:bCs/>
          <w:color w:val="000000" w:themeColor="text1"/>
          <w:lang w:eastAsia="ar-SA"/>
        </w:rPr>
        <w:t>szczególności:</w:t>
      </w:r>
    </w:p>
    <w:p w14:paraId="50FFB356"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osobowe</w:t>
      </w:r>
    </w:p>
    <w:p w14:paraId="7C8FC1AE"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ciężarowe</w:t>
      </w:r>
    </w:p>
    <w:p w14:paraId="32062F71"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Naczepy ciężarowe i przyczepy ciężarowe</w:t>
      </w:r>
    </w:p>
    <w:p w14:paraId="3256C603"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lastRenderedPageBreak/>
        <w:t>Ciągniki rolnicze</w:t>
      </w:r>
    </w:p>
    <w:p w14:paraId="45F73143" w14:textId="2223F53C" w:rsidR="00AE3CCC" w:rsidRPr="00AE3CCC" w:rsidRDefault="00AE3CCC" w:rsidP="00AE3CCC">
      <w:pPr>
        <w:pStyle w:val="Akapitzlist"/>
        <w:numPr>
          <w:ilvl w:val="0"/>
          <w:numId w:val="33"/>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W przypadku pojazdów nie podlegających obowiązkowi rejestracji a</w:t>
      </w:r>
      <w:r w:rsidR="00AA72C5">
        <w:rPr>
          <w:rFonts w:ascii="Bookman Old Style" w:hAnsi="Bookman Old Style" w:cs="Tahoma"/>
          <w:bCs/>
          <w:color w:val="000000" w:themeColor="text1"/>
          <w:lang w:eastAsia="ar-SA"/>
        </w:rPr>
        <w:t> </w:t>
      </w:r>
      <w:r w:rsidRPr="00AE3CCC">
        <w:rPr>
          <w:rFonts w:ascii="Bookman Old Style" w:hAnsi="Bookman Old Style" w:cs="Tahoma"/>
          <w:bCs/>
          <w:color w:val="000000" w:themeColor="text1"/>
          <w:lang w:eastAsia="ar-SA"/>
        </w:rPr>
        <w:t>dopuszczonych do ruchu, wykonawca zapewni ochronę co najmniej dla następujących pojazdów:</w:t>
      </w:r>
    </w:p>
    <w:p w14:paraId="3729BED1"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Pojazdy wolnobieżne</w:t>
      </w:r>
    </w:p>
    <w:p w14:paraId="578A2BD8"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Przyczepy i przyczepy specjalne</w:t>
      </w:r>
    </w:p>
    <w:p w14:paraId="6AC0E817"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Maszyny budowlane typu koparki, koparko-ładowarki, ładowarki, spychacze</w:t>
      </w:r>
    </w:p>
    <w:p w14:paraId="0594A668"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i traktorki</w:t>
      </w:r>
    </w:p>
    <w:p w14:paraId="32C09469" w14:textId="77777777" w:rsidR="00AE3CCC" w:rsidRPr="00AF615E" w:rsidRDefault="00AE3CCC" w:rsidP="00AE3CCC">
      <w:pPr>
        <w:pStyle w:val="Akapitzlist"/>
        <w:spacing w:after="0" w:line="360" w:lineRule="auto"/>
        <w:ind w:left="473"/>
        <w:jc w:val="both"/>
        <w:rPr>
          <w:rFonts w:ascii="Bookman Old Style" w:hAnsi="Bookman Old Style" w:cs="Tahoma"/>
          <w:b/>
          <w:bCs/>
        </w:rPr>
      </w:pPr>
    </w:p>
    <w:p w14:paraId="210A5591"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Zakres ubezpieczenia </w:t>
      </w:r>
    </w:p>
    <w:p w14:paraId="248151DA"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 xml:space="preserve">Zakres ubezpieczenia określa Ustawa o ubezpieczeniach obowiązkowych, Ubezpieczeniowym Funduszu Gwarancyjnym i Polskim Biurze Ubezpieczycieli Komunikacyjnych. </w:t>
      </w:r>
    </w:p>
    <w:p w14:paraId="102DD830"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Suma gwarancyjna </w:t>
      </w:r>
    </w:p>
    <w:p w14:paraId="49CB618F" w14:textId="77777777" w:rsidR="000F6555" w:rsidRPr="000F6555"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Minimalna - </w:t>
      </w:r>
      <w:r w:rsidR="000F6555" w:rsidRPr="000F6555">
        <w:rPr>
          <w:rFonts w:ascii="Bookman Old Style" w:hAnsi="Bookman Old Style" w:cs="Tahoma"/>
        </w:rPr>
        <w:t>zgodna z ustawą z dnia 22 maja 2003 r. o ubezpieczeniach obowiązkowych, Ubezpieczeniowym Funduszu Gwarancyjnym i Polskim Biurze Ubezpieczycieli Komunikacyjnych (t.j. Dz. U. Z z 2018 r., poz. 473) stanowi równowartość w złotych, tj.:</w:t>
      </w:r>
    </w:p>
    <w:p w14:paraId="1A6A86AA" w14:textId="77777777" w:rsidR="000F6555" w:rsidRPr="000F6555" w:rsidRDefault="000F6555" w:rsidP="000F6555">
      <w:pPr>
        <w:pStyle w:val="Akapitzlist"/>
        <w:spacing w:after="0" w:line="360" w:lineRule="auto"/>
        <w:ind w:left="473"/>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na osobie – 5 210 000,00 Euro w odniesieniu do jednego zdarzenia, którego skutki są objęte ubezpieczeniem bez względu na liczbę poszkodowanych,</w:t>
      </w:r>
    </w:p>
    <w:p w14:paraId="03BCE7D3" w14:textId="77777777" w:rsidR="000F6555" w:rsidRDefault="000F6555" w:rsidP="000F6555">
      <w:pPr>
        <w:pStyle w:val="Akapitzlist"/>
        <w:spacing w:after="0" w:line="360" w:lineRule="auto"/>
        <w:ind w:left="473"/>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w mieniu – 1 050 000,00 Euro w odniesieniu do jednego zdarzenia, którego skutki są objęte ubezpieczeniem bez względu na liczbę poszkodowanych.</w:t>
      </w:r>
    </w:p>
    <w:p w14:paraId="011648BF" w14:textId="77777777" w:rsidR="00A52470" w:rsidRPr="00AF615E"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Za szkody spowodowane w państwach, które są sygnatariuszami Jednolitego Porozumienia między Biurami Narodowymi – Regulaminu Wewnętrznego, Wykonawca odpowiada do wysokości sumy gwarancyjnej określonej przepisami tego Państwa nie niższej niż suma gwarancyjna określona powyżej.</w:t>
      </w:r>
    </w:p>
    <w:p w14:paraId="4EF1789D"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Zakres terytorialny</w:t>
      </w:r>
    </w:p>
    <w:p w14:paraId="20AD05D7" w14:textId="7777777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Polska, inne kraje UE oraz państwa wchodzące w skład tzw. systemu Zielonej Karty.</w:t>
      </w:r>
    </w:p>
    <w:p w14:paraId="28C5D024"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Okres ubezpieczenia</w:t>
      </w:r>
    </w:p>
    <w:p w14:paraId="47CEB00C" w14:textId="477E91A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Pojazdy obejmowane ochroną z chwilą wygaśnięcia aktualnych polis ubezpieczenia na 12</w:t>
      </w:r>
      <w:r w:rsidR="00AA72C5">
        <w:rPr>
          <w:rFonts w:ascii="Bookman Old Style" w:hAnsi="Bookman Old Style" w:cs="Tahoma"/>
        </w:rPr>
        <w:t xml:space="preserve"> miesięczne</w:t>
      </w:r>
      <w:r w:rsidRPr="00AF615E">
        <w:rPr>
          <w:rFonts w:ascii="Bookman Old Style" w:hAnsi="Bookman Old Style" w:cs="Tahoma"/>
        </w:rPr>
        <w:t xml:space="preserve"> (dwunastomiesięczne</w:t>
      </w:r>
      <w:r w:rsidR="00AA72C5">
        <w:rPr>
          <w:rFonts w:ascii="Bookman Old Style" w:hAnsi="Bookman Old Style" w:cs="Tahoma"/>
        </w:rPr>
        <w:t>)</w:t>
      </w:r>
      <w:r w:rsidRPr="00AF615E">
        <w:rPr>
          <w:rFonts w:ascii="Bookman Old Style" w:hAnsi="Bookman Old Style" w:cs="Tahoma"/>
        </w:rPr>
        <w:t xml:space="preserve"> okresy ubezpieczeniowe. Dla pojazdów dodatkowo zgłaszanych do ubezpieczenia w okresie trwania umowy od dnia rejestracji pod warunkiem zgłoszenia pojazdu do ubezpieczenia najpóźniej w dniu rejestracji.</w:t>
      </w:r>
      <w:r w:rsidR="000F6555">
        <w:rPr>
          <w:rFonts w:ascii="Bookman Old Style" w:hAnsi="Bookman Old Style" w:cs="Tahoma"/>
        </w:rPr>
        <w:t xml:space="preserve"> </w:t>
      </w:r>
    </w:p>
    <w:p w14:paraId="5F449453"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lastRenderedPageBreak/>
        <w:t>Warunki szczególne dotyczące zawierania umów</w:t>
      </w:r>
      <w:r w:rsidRPr="00AF615E">
        <w:rPr>
          <w:rFonts w:ascii="Bookman Old Style" w:hAnsi="Bookman Old Style" w:cs="Tahoma"/>
        </w:rPr>
        <w:t>:</w:t>
      </w:r>
    </w:p>
    <w:p w14:paraId="64FB176E" w14:textId="77777777"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W przypadku pojazdów nowozakupionych, pojazdy zostaną objęte ochroną ubezpieczeniową od dnia zgłoszenia do ubezpieczenia pojazdu. Przyjmowanie pojazdów do ubezpieczenia następować będzie na podstawie wniosku przesyłanego korespondencją elektroniczną przez brokera lub Zamawiającego. </w:t>
      </w:r>
    </w:p>
    <w:p w14:paraId="0FBECAA7" w14:textId="51ADFE55"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Ochrona ubezpieczeniowa dla pojazdów fabrycznie nowych nabywanych w</w:t>
      </w:r>
      <w:r w:rsidR="00AA72C5">
        <w:rPr>
          <w:rFonts w:ascii="Bookman Old Style" w:hAnsi="Bookman Old Style" w:cs="Tahoma"/>
        </w:rPr>
        <w:t> </w:t>
      </w:r>
      <w:r w:rsidRPr="00AF615E">
        <w:rPr>
          <w:rFonts w:ascii="Bookman Old Style" w:hAnsi="Bookman Old Style" w:cs="Tahoma"/>
        </w:rPr>
        <w:t>trakcie okresu ubezpieczenia rozpocznie się od dnia ich rejestracji, pod warunkiem, iż Zamawiający przekaże szczegółowe dane ubezpieczanego pojazdu w terminie nie dłuższym niż 3 (trzy) dni od dnia rejestracji.</w:t>
      </w:r>
    </w:p>
    <w:p w14:paraId="25712D87" w14:textId="77777777"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Ochrona ubezpieczeniowa będzie udzielana na okres 12 (dwunastu) miesięcy </w:t>
      </w:r>
      <w:r w:rsidRPr="00AF615E">
        <w:rPr>
          <w:rFonts w:ascii="Bookman Old Style" w:hAnsi="Bookman Old Style" w:cs="Tahoma"/>
        </w:rPr>
        <w:br/>
        <w:t xml:space="preserve">od dnia wnioskowanego, tj. dnia rozpoczęcia ochrony. </w:t>
      </w:r>
    </w:p>
    <w:p w14:paraId="01EC6B1D" w14:textId="77777777" w:rsidR="00A52470" w:rsidRPr="00AF615E" w:rsidRDefault="00A52470" w:rsidP="000F6555">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Umowy ubezpieczenia OC będą potwierdzane dokumentami wystawionymi przez Ubezpieczyciela dla każdego przyjętego do ubezpieczenia pojazdu, spełniającymi wymogi przepisów prawa dotyczące potwierdzania spełnienia obowiązku zawarcia umowy ube</w:t>
      </w:r>
      <w:r w:rsidR="000F6555">
        <w:rPr>
          <w:rFonts w:ascii="Bookman Old Style" w:hAnsi="Bookman Old Style" w:cs="Tahoma"/>
        </w:rPr>
        <w:t>zpieczenia.</w:t>
      </w:r>
      <w:r w:rsidR="000F6555" w:rsidRPr="000F6555">
        <w:t xml:space="preserve"> </w:t>
      </w:r>
      <w:r w:rsidR="000F6555">
        <w:rPr>
          <w:rFonts w:ascii="Bookman Old Style" w:hAnsi="Bookman Old Style" w:cs="Tahoma"/>
        </w:rPr>
        <w:t>B</w:t>
      </w:r>
      <w:r w:rsidR="000F6555" w:rsidRPr="000F6555">
        <w:rPr>
          <w:rFonts w:ascii="Bookman Old Style" w:hAnsi="Bookman Old Style" w:cs="Tahoma"/>
        </w:rPr>
        <w:t xml:space="preserve">ez względu na fakt zniesienia obowiązku posiadania </w:t>
      </w:r>
      <w:r w:rsidR="000F6555">
        <w:rPr>
          <w:rFonts w:ascii="Bookman Old Style" w:hAnsi="Bookman Old Style" w:cs="Tahoma"/>
        </w:rPr>
        <w:t>Potwierdzenia OC przez kierowcę, Wykonawca wystawi taki dokument do każdego pojazdu.</w:t>
      </w:r>
    </w:p>
    <w:p w14:paraId="65D5ED8E" w14:textId="566D40F0"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Składki za pojazdy wycofywane z ubezpieczenia w czasie trwania umowy będą zwracane zgodnie z przepisami ustawy z dnia 22 maja 2003 r. o</w:t>
      </w:r>
      <w:r w:rsidR="00AA72C5">
        <w:rPr>
          <w:rFonts w:ascii="Bookman Old Style" w:hAnsi="Bookman Old Style" w:cs="Tahoma"/>
        </w:rPr>
        <w:t> </w:t>
      </w:r>
      <w:r w:rsidRPr="00AF615E">
        <w:rPr>
          <w:rFonts w:ascii="Bookman Old Style" w:hAnsi="Bookman Old Style" w:cs="Tahoma"/>
        </w:rPr>
        <w:t>ubezpieczeniach obowiązkowych, Ubezpieczeniowym Funduszu Gwarancyjnym i Polskim Biurze Ubezpieczycieli komunikacyjnych. Od tak wyliczonej składki za niewykorzystany okres ochrony ubezpieczeniowej nie będą potrącane koszty manipulacyjne.</w:t>
      </w:r>
    </w:p>
    <w:p w14:paraId="5B075F5E"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Płatność składki</w:t>
      </w:r>
    </w:p>
    <w:p w14:paraId="44E27084"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Składka płatna jednorazowo w terminie 14 dni od początku okresu ubezpieczenia. Dla pojazdów zakupionych  składka płatna w terminie 14 dni od dnia przekazania polisy Zamawiającemu.</w:t>
      </w:r>
    </w:p>
    <w:p w14:paraId="3E0349DA" w14:textId="77777777" w:rsidR="00A52470" w:rsidRPr="00AF615E" w:rsidRDefault="00A52470" w:rsidP="00A52470">
      <w:pPr>
        <w:pStyle w:val="Akapitzlist"/>
        <w:numPr>
          <w:ilvl w:val="0"/>
          <w:numId w:val="5"/>
        </w:numPr>
        <w:spacing w:line="360" w:lineRule="auto"/>
        <w:ind w:right="72"/>
        <w:jc w:val="both"/>
        <w:rPr>
          <w:rFonts w:ascii="Bookman Old Style" w:hAnsi="Bookman Old Style" w:cs="Tahoma"/>
        </w:rPr>
      </w:pPr>
      <w:r w:rsidRPr="00AF615E">
        <w:rPr>
          <w:rFonts w:ascii="Bookman Old Style" w:hAnsi="Bookman Old Style" w:cs="Tahoma"/>
          <w:b/>
        </w:rPr>
        <w:t>Franszyza:</w:t>
      </w:r>
      <w:r w:rsidRPr="00AF615E">
        <w:rPr>
          <w:rFonts w:ascii="Bookman Old Style" w:hAnsi="Bookman Old Style" w:cs="Tahoma"/>
        </w:rPr>
        <w:t xml:space="preserve"> Nie ma zastosowania</w:t>
      </w:r>
    </w:p>
    <w:p w14:paraId="1F34F821" w14:textId="77777777" w:rsidR="00A52470" w:rsidRPr="00AF615E" w:rsidRDefault="00A52470" w:rsidP="00A52470">
      <w:pPr>
        <w:pStyle w:val="Akapitzlist"/>
        <w:spacing w:line="360" w:lineRule="auto"/>
        <w:ind w:left="473" w:right="72"/>
        <w:jc w:val="both"/>
        <w:rPr>
          <w:rFonts w:ascii="Bookman Old Style" w:hAnsi="Bookman Old Style" w:cs="Tahoma"/>
        </w:rPr>
      </w:pPr>
    </w:p>
    <w:p w14:paraId="4E1FCBDA" w14:textId="77777777" w:rsidR="00A52470" w:rsidRPr="00AF615E" w:rsidRDefault="00A52470" w:rsidP="00A52470">
      <w:pPr>
        <w:pStyle w:val="Akapitzlist"/>
        <w:numPr>
          <w:ilvl w:val="0"/>
          <w:numId w:val="4"/>
        </w:numPr>
        <w:rPr>
          <w:rFonts w:ascii="Bookman Old Style" w:hAnsi="Bookman Old Style" w:cs="Tahoma"/>
          <w:b/>
        </w:rPr>
      </w:pPr>
      <w:r w:rsidRPr="00AF615E">
        <w:rPr>
          <w:rFonts w:ascii="Bookman Old Style" w:hAnsi="Bookman Old Style" w:cs="Tahoma"/>
          <w:b/>
        </w:rPr>
        <w:t xml:space="preserve">Przedmiot ubezpieczenia – Ubezpieczenie </w:t>
      </w:r>
      <w:r w:rsidR="00D86FDE" w:rsidRPr="00AF615E">
        <w:rPr>
          <w:rFonts w:ascii="Bookman Old Style" w:hAnsi="Bookman Old Style" w:cs="Tahoma"/>
          <w:b/>
        </w:rPr>
        <w:t xml:space="preserve">(AC) </w:t>
      </w:r>
      <w:r w:rsidRPr="00AF615E">
        <w:rPr>
          <w:rFonts w:ascii="Bookman Old Style" w:hAnsi="Bookman Old Style" w:cs="Tahoma"/>
          <w:b/>
        </w:rPr>
        <w:t>autocasco pojazdów mechanicznych od uszkodzeń, zniszczeń i kradzieży</w:t>
      </w:r>
    </w:p>
    <w:p w14:paraId="34DC3713" w14:textId="77777777" w:rsidR="00A52470" w:rsidRPr="00AF615E" w:rsidRDefault="00A52470" w:rsidP="00A52470">
      <w:pPr>
        <w:pStyle w:val="Tekstpodstawowy3"/>
        <w:numPr>
          <w:ilvl w:val="0"/>
          <w:numId w:val="7"/>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Przedmiot ubezpieczenia</w:t>
      </w:r>
    </w:p>
    <w:p w14:paraId="7F399550" w14:textId="77777777" w:rsidR="000F6555" w:rsidRDefault="00A52470" w:rsidP="000F6555">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Ubezpieczyciel obejmie ochroną ubezpieczeniową wskazane przez Zamawiającego pojazdy wraz z wyposażeniem zgłoszone do ubezpieczenia na podstawie </w:t>
      </w:r>
      <w:r w:rsidRPr="00AF615E">
        <w:rPr>
          <w:rFonts w:ascii="Bookman Old Style" w:hAnsi="Bookman Old Style" w:cs="Tahoma"/>
          <w:b/>
          <w:sz w:val="22"/>
          <w:szCs w:val="22"/>
        </w:rPr>
        <w:t xml:space="preserve">Załącznika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b/>
          <w:sz w:val="22"/>
          <w:szCs w:val="22"/>
          <w:lang w:val="pl-PL"/>
        </w:rPr>
        <w:t xml:space="preserve"> </w:t>
      </w:r>
      <w:r w:rsidRPr="00AF615E">
        <w:rPr>
          <w:rFonts w:ascii="Bookman Old Style" w:hAnsi="Bookman Old Style" w:cs="Tahoma"/>
          <w:sz w:val="22"/>
          <w:szCs w:val="22"/>
        </w:rPr>
        <w:t xml:space="preserve"> oraz wszystkie pojazdy zakupione od dnia zgłoszenia ich do ubezpieczenia na podstawie wniosku brokera lub </w:t>
      </w:r>
      <w:r w:rsidRPr="00AF615E">
        <w:rPr>
          <w:rFonts w:ascii="Bookman Old Style" w:hAnsi="Bookman Old Style" w:cs="Tahoma"/>
          <w:sz w:val="22"/>
          <w:szCs w:val="22"/>
        </w:rPr>
        <w:lastRenderedPageBreak/>
        <w:t>Zamawiającego. Pojazdy nabywane będą objęte ubezpieczeniem na warunkach określonych w umowie.</w:t>
      </w:r>
    </w:p>
    <w:p w14:paraId="5F220DDB" w14:textId="77777777" w:rsidR="000F6555" w:rsidRPr="000F6555" w:rsidRDefault="000F6555" w:rsidP="009506CF">
      <w:pPr>
        <w:pStyle w:val="Tekstpodstawowy3"/>
        <w:numPr>
          <w:ilvl w:val="0"/>
          <w:numId w:val="8"/>
        </w:numPr>
        <w:spacing w:after="0" w:line="360" w:lineRule="auto"/>
        <w:ind w:right="72"/>
        <w:jc w:val="both"/>
        <w:rPr>
          <w:rFonts w:ascii="Bookman Old Style" w:hAnsi="Bookman Old Style" w:cs="Tahoma"/>
          <w:sz w:val="22"/>
          <w:szCs w:val="22"/>
        </w:rPr>
      </w:pPr>
      <w:r w:rsidRPr="000F6555">
        <w:rPr>
          <w:rFonts w:ascii="Bookman Old Style" w:hAnsi="Bookman Old Style" w:cs="Tahoma"/>
          <w:sz w:val="22"/>
          <w:szCs w:val="22"/>
        </w:rPr>
        <w:t>Przedmiotem ubezpieczenia będą pojazdy oraz ich wyposażenie dodatkowe, specjalistyczne nadbudowy zamontowane na stałe, specjalistyczne wyposażenie nie będące elementem nadbudowy należące do Zamawiającego</w:t>
      </w:r>
      <w:r w:rsidRPr="000F6555">
        <w:rPr>
          <w:rFonts w:ascii="Bookman Old Style" w:hAnsi="Bookman Old Style" w:cs="Tahoma"/>
          <w:sz w:val="22"/>
          <w:szCs w:val="22"/>
          <w:lang w:val="pl-PL"/>
        </w:rPr>
        <w:t>.</w:t>
      </w:r>
      <w:r w:rsidR="00D93972">
        <w:rPr>
          <w:rFonts w:ascii="Bookman Old Style" w:hAnsi="Bookman Old Style" w:cs="Tahoma"/>
          <w:sz w:val="22"/>
          <w:szCs w:val="22"/>
          <w:lang w:val="pl-PL"/>
        </w:rPr>
        <w:t xml:space="preserve"> </w:t>
      </w:r>
      <w:r w:rsidR="009506CF" w:rsidRPr="009506CF">
        <w:rPr>
          <w:rFonts w:ascii="Bookman Old Style" w:hAnsi="Bookman Old Style" w:cs="Tahoma"/>
          <w:b/>
          <w:color w:val="FF0000"/>
          <w:sz w:val="22"/>
          <w:szCs w:val="22"/>
          <w:lang w:val="pl-PL"/>
        </w:rPr>
        <w:t>Zastosowania mają limity wartości dla wyposażenia dodatkowego przewidziane w OWU Wykonawcy.</w:t>
      </w:r>
    </w:p>
    <w:p w14:paraId="387A64B3"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Dla nowych pojazdów zakupionych w czasie obowiązywania niniejszej umowy, w przypadku, jeżeli warunki ubezpieczenia oferowane przez dealera będą korzystniejsze niż określone</w:t>
      </w:r>
      <w:r w:rsidR="00AF615E">
        <w:rPr>
          <w:rFonts w:ascii="Bookman Old Style" w:hAnsi="Bookman Old Style" w:cs="Tahoma"/>
          <w:sz w:val="22"/>
          <w:szCs w:val="22"/>
          <w:lang w:val="pl-PL"/>
        </w:rPr>
        <w:t xml:space="preserve"> </w:t>
      </w:r>
      <w:r w:rsidRPr="00AF615E">
        <w:rPr>
          <w:rFonts w:ascii="Bookman Old Style" w:hAnsi="Bookman Old Style" w:cs="Tahoma"/>
          <w:sz w:val="22"/>
          <w:szCs w:val="22"/>
        </w:rPr>
        <w:t>w Ofercie, Zamawiający ma prawo zawrzeć umowę ubezpieczenia na warunkach dla niego korzystniejszych i nie będzie naruszać to warunków Umowy zawartej w wyniku niniejszego Postępowania.</w:t>
      </w:r>
    </w:p>
    <w:p w14:paraId="4A75EE35"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bCs/>
          <w:sz w:val="22"/>
          <w:szCs w:val="22"/>
        </w:rPr>
        <w:t>Wymóg sporządzenia dokumentacji zdjęciowej lub przeprowadzenia oględzin nie dotyczy pojazdów:</w:t>
      </w:r>
    </w:p>
    <w:p w14:paraId="29405686"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 xml:space="preserve">wykazanych w </w:t>
      </w:r>
      <w:r w:rsidRPr="00AF615E">
        <w:rPr>
          <w:rFonts w:ascii="Bookman Old Style" w:hAnsi="Bookman Old Style" w:cs="Tahoma"/>
          <w:b/>
          <w:bCs/>
          <w:sz w:val="22"/>
          <w:szCs w:val="22"/>
        </w:rPr>
        <w:t xml:space="preserve">załączniku nr </w:t>
      </w:r>
      <w:r w:rsidRPr="00AF615E">
        <w:rPr>
          <w:rFonts w:ascii="Bookman Old Style" w:hAnsi="Bookman Old Style" w:cs="Tahoma"/>
          <w:b/>
          <w:bCs/>
          <w:sz w:val="22"/>
          <w:szCs w:val="22"/>
          <w:lang w:val="pl-PL"/>
        </w:rPr>
        <w:t>1</w:t>
      </w:r>
      <w:r w:rsidRPr="00AF615E">
        <w:rPr>
          <w:rFonts w:ascii="Bookman Old Style" w:hAnsi="Bookman Old Style" w:cs="Tahoma"/>
          <w:b/>
          <w:bCs/>
          <w:sz w:val="22"/>
          <w:szCs w:val="22"/>
        </w:rPr>
        <w:t xml:space="preserve"> do OPZ</w:t>
      </w:r>
      <w:r w:rsidRPr="00AF615E">
        <w:rPr>
          <w:rFonts w:ascii="Bookman Old Style" w:hAnsi="Bookman Old Style" w:cs="Tahoma"/>
          <w:b/>
          <w:bCs/>
          <w:sz w:val="22"/>
          <w:szCs w:val="22"/>
          <w:lang w:val="pl-PL"/>
        </w:rPr>
        <w:t xml:space="preserve"> </w:t>
      </w:r>
      <w:r w:rsidRPr="00AF615E">
        <w:rPr>
          <w:rFonts w:ascii="Bookman Old Style" w:hAnsi="Bookman Old Style" w:cs="Tahoma"/>
          <w:bCs/>
          <w:sz w:val="22"/>
          <w:szCs w:val="22"/>
        </w:rPr>
        <w:t xml:space="preserve"> (pod warunkiem kontynuacji ubezpieczenia autocasco bez dnia przerwy w ochronie ubezpieczeniowej),</w:t>
      </w:r>
    </w:p>
    <w:p w14:paraId="24442268"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fabrycznie nowych,</w:t>
      </w:r>
    </w:p>
    <w:p w14:paraId="64E8AD72"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innych, które będą obejmowane ochroną w dniu nabycia, pod warunkiem kontynuacji ubezpieczenia bez jednego dnia przerwy w Autocasco.</w:t>
      </w:r>
    </w:p>
    <w:p w14:paraId="4D52DB0F"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składki za pojazdy wycofywane z ubezpieczenia w czasie trwania umowy ubezpieczenia będą rozliczane za czas faktycznej ochrony zgodn</w:t>
      </w:r>
      <w:r w:rsidR="00D86FDE" w:rsidRPr="00AF615E">
        <w:rPr>
          <w:rFonts w:ascii="Bookman Old Style" w:hAnsi="Bookman Old Style" w:cs="Tahoma"/>
          <w:bCs/>
          <w:sz w:val="22"/>
          <w:szCs w:val="22"/>
        </w:rPr>
        <w:t xml:space="preserve">ie z zasadą pro rata temporis </w:t>
      </w:r>
      <w:r w:rsidRPr="00AF615E">
        <w:rPr>
          <w:rFonts w:ascii="Bookman Old Style" w:hAnsi="Bookman Old Style" w:cs="Tahoma"/>
          <w:bCs/>
          <w:sz w:val="22"/>
          <w:szCs w:val="22"/>
        </w:rPr>
        <w:t>w terminie 14 dni od daty otrzymania dokumentów od Ubezpieczonego świadczących o wygaśnięciu stosunku ubezpieczenia; przy zwrocie składki nie potrąca się kosztów manipulacyjnych.</w:t>
      </w:r>
    </w:p>
    <w:p w14:paraId="7EAAB6D2" w14:textId="77777777" w:rsidR="00A52470" w:rsidRPr="00AF615E" w:rsidRDefault="00A52470" w:rsidP="00A52470">
      <w:pPr>
        <w:pStyle w:val="Tekstpodstawowy3"/>
        <w:spacing w:line="360" w:lineRule="auto"/>
        <w:ind w:left="1440" w:right="72"/>
        <w:rPr>
          <w:rFonts w:ascii="Bookman Old Style" w:hAnsi="Bookman Old Style" w:cs="Tahoma"/>
          <w:b/>
          <w:sz w:val="22"/>
          <w:szCs w:val="22"/>
        </w:rPr>
      </w:pPr>
    </w:p>
    <w:p w14:paraId="76349776"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Okres ubezpieczenia</w:t>
      </w:r>
    </w:p>
    <w:p w14:paraId="5AA38FC3"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na okres dwunastu miesięcy.</w:t>
      </w:r>
    </w:p>
    <w:p w14:paraId="4FCF1C75"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 Dla pojazdów dodatkowo zgłaszanych do ubezpieczenia w okresie trwania umowy ochrona będzie obowiązywać od dnia rejestracji pod warunkiem zgłoszenia pojazdu do ubezpieczenia najpóźniej w dniu rejestracji.</w:t>
      </w:r>
    </w:p>
    <w:p w14:paraId="57838E91"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Przyjmowanie pojazdów do ubezpieczenia następować będzie na podstawie zgłoszenia przesyłanego pocztą elektroniczną przez brokera lub Zamawiającego. Składka naliczona zostanie zgodnie z umową i obejmować będzie faktyczny okres ochrony.</w:t>
      </w:r>
    </w:p>
    <w:p w14:paraId="6D013740" w14:textId="77777777" w:rsidR="00A52470" w:rsidRPr="00AF615E" w:rsidRDefault="00A52470" w:rsidP="00A52470">
      <w:pPr>
        <w:pStyle w:val="Akapitzlist"/>
        <w:spacing w:after="0" w:line="360" w:lineRule="auto"/>
        <w:jc w:val="both"/>
        <w:rPr>
          <w:rFonts w:ascii="Bookman Old Style" w:hAnsi="Bookman Old Style" w:cs="Tahoma"/>
        </w:rPr>
      </w:pPr>
    </w:p>
    <w:p w14:paraId="62B185A3"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 xml:space="preserve">Zakres terytorialny ubezpieczenia </w:t>
      </w:r>
    </w:p>
    <w:p w14:paraId="4F60B3ED" w14:textId="77777777" w:rsidR="00A52470" w:rsidRPr="00AF615E" w:rsidRDefault="00A52470" w:rsidP="00A52470">
      <w:pPr>
        <w:pStyle w:val="Tekstpodstawowy3"/>
        <w:spacing w:line="360" w:lineRule="auto"/>
        <w:ind w:left="360" w:right="72"/>
        <w:rPr>
          <w:rFonts w:ascii="Bookman Old Style" w:hAnsi="Bookman Old Style" w:cs="Tahoma"/>
          <w:b/>
          <w:sz w:val="22"/>
          <w:szCs w:val="22"/>
        </w:rPr>
      </w:pPr>
      <w:r w:rsidRPr="00AF615E">
        <w:rPr>
          <w:rFonts w:ascii="Bookman Old Style" w:hAnsi="Bookman Old Style" w:cs="Tahoma"/>
          <w:sz w:val="22"/>
          <w:szCs w:val="22"/>
        </w:rPr>
        <w:t xml:space="preserve">Ochrona ubezpieczeniowa w zakresie AC w ruchu i postoju obejmuje szkody powstałe na terytorium RP oraz krajów europejskich.  </w:t>
      </w:r>
    </w:p>
    <w:p w14:paraId="4BE372A6"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Zakres ubezpieczenia</w:t>
      </w:r>
    </w:p>
    <w:p w14:paraId="6FB22531" w14:textId="77777777" w:rsidR="00A52470" w:rsidRPr="00AF615E" w:rsidRDefault="00D93972" w:rsidP="00D93972">
      <w:pPr>
        <w:pStyle w:val="Akapitzlist"/>
        <w:numPr>
          <w:ilvl w:val="0"/>
          <w:numId w:val="12"/>
        </w:numPr>
        <w:spacing w:line="360" w:lineRule="auto"/>
        <w:ind w:right="72"/>
        <w:jc w:val="both"/>
        <w:rPr>
          <w:rFonts w:ascii="Bookman Old Style" w:hAnsi="Bookman Old Style" w:cs="Tahoma"/>
        </w:rPr>
      </w:pPr>
      <w:r w:rsidRPr="00D93972">
        <w:rPr>
          <w:rFonts w:ascii="Bookman Old Style" w:hAnsi="Bookman Old Style" w:cs="Tahoma"/>
        </w:rPr>
        <w:t>Z ochrony ubezpieczeniowej nie zostaną</w:t>
      </w:r>
      <w:r>
        <w:rPr>
          <w:rFonts w:ascii="Bookman Old Style" w:hAnsi="Bookman Old Style" w:cs="Tahoma"/>
        </w:rPr>
        <w:t xml:space="preserve"> wyłączone szkody polegające na</w:t>
      </w:r>
      <w:r w:rsidR="00A52470" w:rsidRPr="00AF615E">
        <w:rPr>
          <w:rFonts w:ascii="Bookman Old Style" w:hAnsi="Bookman Old Style" w:cs="Tahoma"/>
        </w:rPr>
        <w:t>:</w:t>
      </w:r>
    </w:p>
    <w:p w14:paraId="2049AF4E"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nagłego działania siły mechanicznej w chwili zetknięcia pojazdu z innym pojazdem, osobami, zwierzętami lub przedmiotami pochodzącymi z zewnątrz lub też z wewnątrz pojazdu (w tym w wyniku samoczynnego otwarcia się elementów pojazdu);</w:t>
      </w:r>
    </w:p>
    <w:p w14:paraId="45D70965" w14:textId="77777777" w:rsidR="00D93972" w:rsidRPr="00AF615E" w:rsidRDefault="00D93972" w:rsidP="00A52470">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przez zwierzęta;</w:t>
      </w:r>
    </w:p>
    <w:p w14:paraId="65903B29"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działania osób trzecich, w tym również włamania</w:t>
      </w:r>
      <w:r w:rsidR="00D93972">
        <w:rPr>
          <w:rFonts w:ascii="Bookman Old Style" w:hAnsi="Bookman Old Style" w:cs="Tahoma"/>
        </w:rPr>
        <w:t xml:space="preserve"> lub próby włamania</w:t>
      </w:r>
      <w:r w:rsidRPr="00AF615E">
        <w:rPr>
          <w:rFonts w:ascii="Bookman Old Style" w:hAnsi="Bookman Old Style" w:cs="Tahoma"/>
        </w:rPr>
        <w:t>;</w:t>
      </w:r>
    </w:p>
    <w:p w14:paraId="693A7B12"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powodzi, zatopienia, uderzenia pioruna, pożaru, wybuchu, opadu atmosferycznego, huraganu, osuwania lub zapadania się ziemi oraz innych sił przyrody;</w:t>
      </w:r>
    </w:p>
    <w:p w14:paraId="03903FF4"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nagłego działania czynnika termicznego lub chemicznego</w:t>
      </w:r>
      <w:r w:rsidR="00D93972">
        <w:rPr>
          <w:rFonts w:ascii="Bookman Old Style" w:hAnsi="Bookman Old Style" w:cs="Tahoma"/>
        </w:rPr>
        <w:t xml:space="preserve"> pochodzącego z zewnątrz lub z</w:t>
      </w:r>
      <w:r w:rsidRPr="00AF615E">
        <w:rPr>
          <w:rFonts w:ascii="Bookman Old Style" w:hAnsi="Bookman Old Style" w:cs="Tahoma"/>
        </w:rPr>
        <w:t xml:space="preserve"> wewnątrz pojazdu;</w:t>
      </w:r>
    </w:p>
    <w:p w14:paraId="4FF22205"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w:t>
      </w:r>
      <w:r w:rsidR="00D93972">
        <w:rPr>
          <w:rFonts w:ascii="Bookman Old Style" w:hAnsi="Bookman Old Style" w:cs="Tahoma"/>
        </w:rPr>
        <w:t>dzeniu</w:t>
      </w:r>
      <w:r w:rsidRPr="00AF615E">
        <w:rPr>
          <w:rFonts w:ascii="Bookman Old Style" w:hAnsi="Bookman Old Style" w:cs="Tahoma"/>
        </w:rPr>
        <w:t xml:space="preserve"> pojazdu w wyniku pożaru lub wybuchu, którego źr</w:t>
      </w:r>
      <w:r w:rsidR="008B0D08">
        <w:rPr>
          <w:rFonts w:ascii="Bookman Old Style" w:hAnsi="Bookman Old Style" w:cs="Tahoma"/>
        </w:rPr>
        <w:t>ódło powstało wewnątrz pojazdu;</w:t>
      </w:r>
    </w:p>
    <w:p w14:paraId="1710045E" w14:textId="02778172" w:rsidR="008B0D08" w:rsidRPr="00AF615E" w:rsidRDefault="008B0D08" w:rsidP="008B0D08">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 xml:space="preserve">uszkodzeniu pojazdu w trakcie </w:t>
      </w:r>
      <w:r w:rsidRPr="008B0D08">
        <w:rPr>
          <w:rFonts w:ascii="Bookman Old Style" w:hAnsi="Bookman Old Style" w:cs="Tahoma"/>
        </w:rPr>
        <w:t>zamieszek, rozruchów, demonstracji i</w:t>
      </w:r>
      <w:r w:rsidR="00AA72C5">
        <w:rPr>
          <w:rFonts w:ascii="Bookman Old Style" w:hAnsi="Bookman Old Style" w:cs="Tahoma"/>
        </w:rPr>
        <w:t> </w:t>
      </w:r>
      <w:r w:rsidRPr="008B0D08">
        <w:rPr>
          <w:rFonts w:ascii="Bookman Old Style" w:hAnsi="Bookman Old Style" w:cs="Tahoma"/>
        </w:rPr>
        <w:t>aktów terroru</w:t>
      </w:r>
      <w:r>
        <w:rPr>
          <w:rFonts w:ascii="Bookman Old Style" w:hAnsi="Bookman Old Style" w:cs="Tahoma"/>
        </w:rPr>
        <w:t xml:space="preserve"> (jeżeli pojazd nie brał czynnego udziału w tych akcjach);</w:t>
      </w:r>
    </w:p>
    <w:p w14:paraId="5C8448DD"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wnętrza pojazdu przez osoby, których przewóz wymagany był potrzebą udzielenia pomocy medycznej;</w:t>
      </w:r>
    </w:p>
    <w:p w14:paraId="59EC2166"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 xml:space="preserve">uszkodzeniu pojazdów przez inne pojazdy należące do Zamawiającego/Ubezpieczonego; </w:t>
      </w:r>
    </w:p>
    <w:p w14:paraId="52CA1B19"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kradzieży pojazdu, jego części lub wyposażenia;</w:t>
      </w:r>
    </w:p>
    <w:p w14:paraId="2E7E6E24" w14:textId="77777777" w:rsidR="00A52470" w:rsidRPr="00AF615E" w:rsidRDefault="00A52470" w:rsidP="00A52470">
      <w:pPr>
        <w:pStyle w:val="Akapitzlist"/>
        <w:spacing w:line="360" w:lineRule="auto"/>
        <w:ind w:left="1080" w:right="72"/>
        <w:jc w:val="both"/>
        <w:rPr>
          <w:rFonts w:ascii="Bookman Old Style" w:hAnsi="Bookman Old Style" w:cs="Tahoma"/>
          <w:i/>
        </w:rPr>
      </w:pPr>
      <w:r w:rsidRPr="00AF615E">
        <w:rPr>
          <w:rFonts w:ascii="Bookman Old Style" w:hAnsi="Bookman Old Style" w:cs="Tahoma"/>
          <w:i/>
        </w:rPr>
        <w:t>Przez „kradzież” rozumie się działanie sprawcy o znamionach określonych w art. 278 Kodeksu karnego – dalej zwanym „KK”, 279 KK i 280 KK,, które doprowadziło do zaboru pojazdu lub jego części, zabezpieczonego w sposób wskazany przez Ubezpieczyciela.</w:t>
      </w:r>
    </w:p>
    <w:p w14:paraId="43542FAC"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następstwie jego zabrania w celu krótkotrwałego użycia, kradzieży pojazdu, jego części lub wyposażenia;</w:t>
      </w:r>
    </w:p>
    <w:p w14:paraId="0FB5B619" w14:textId="3C690E8E" w:rsidR="00A52470" w:rsidRPr="0083348F" w:rsidRDefault="00A52470" w:rsidP="00EC75BC">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lastRenderedPageBreak/>
        <w:t>ryzyko dodatkowe - pokrycie kosztów holowania (zwrot kosztów) do wskazanego warsztatu naprawczego lub - zgodnie z decyzją Ubezpieczonego - do lokalizacji lub siedziby Ubezpieczonego - w ramach limitu 10% sumy ubezpieczenia pojazdu minimum 1.000,00 PLN; pokrycie kosztów holowania następuje niezależnie od możliwości organizacji holowania w ramach ubezpieczenia assistance;</w:t>
      </w:r>
      <w:r w:rsidR="00EC75BC">
        <w:rPr>
          <w:rFonts w:ascii="Bookman Old Style" w:hAnsi="Bookman Old Style" w:cs="Tahoma"/>
        </w:rPr>
        <w:t xml:space="preserve"> </w:t>
      </w:r>
      <w:r w:rsidR="00EC75BC" w:rsidRPr="0083348F">
        <w:rPr>
          <w:rFonts w:ascii="Bookman Old Style" w:hAnsi="Bookman Old Style" w:cs="Tahoma"/>
        </w:rPr>
        <w:t>niniejsze postanowienie nie dotyczy pojazdów osobowych, ciężarowych do 2t oraz przyczep kempingowych;</w:t>
      </w:r>
    </w:p>
    <w:p w14:paraId="4917A40A" w14:textId="77777777" w:rsidR="00A52470" w:rsidRPr="0083348F" w:rsidRDefault="00A52470" w:rsidP="00A52470">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rPr>
        <w:t>ubezpieczyciel pokryje koszty przeprowadzenia dodatkowego badania technicznego, o którym mowa w art. 81 ust. 8 pkt 4 ustawy z dnia 20 czerwca 1997 roku - Prawo o ruchu drogowym (Dz. U. z 2005 r. Nr 108, poz. 908 z późn. zm.), do którego zobowiązuje Ubezpieczonego art. 17 ustawy z dnia 22 maja 2003 r. o działalności ubezpieczeniowej;</w:t>
      </w:r>
    </w:p>
    <w:p w14:paraId="2AFCEDFF" w14:textId="77777777" w:rsidR="00D93972" w:rsidRDefault="00D93972" w:rsidP="00D93972">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w następstwie przekroczenia</w:t>
      </w:r>
      <w:r w:rsidR="00A52470" w:rsidRPr="0083348F">
        <w:rPr>
          <w:rFonts w:ascii="Bookman Old Style" w:hAnsi="Bookman Old Style" w:cs="Tahoma"/>
        </w:rPr>
        <w:t xml:space="preserve"> lub zła</w:t>
      </w:r>
      <w:r>
        <w:rPr>
          <w:rFonts w:ascii="Bookman Old Style" w:hAnsi="Bookman Old Style" w:cs="Tahoma"/>
        </w:rPr>
        <w:t>mania</w:t>
      </w:r>
      <w:r w:rsidR="00A52470" w:rsidRPr="0083348F">
        <w:rPr>
          <w:rFonts w:ascii="Bookman Old Style" w:hAnsi="Bookman Old Style" w:cs="Tahoma"/>
        </w:rPr>
        <w:t xml:space="preserve"> przepisów ruchu drogowego pr</w:t>
      </w:r>
      <w:r>
        <w:rPr>
          <w:rFonts w:ascii="Bookman Old Style" w:hAnsi="Bookman Old Style" w:cs="Tahoma"/>
        </w:rPr>
        <w:t xml:space="preserve">zez kierującego pojazdem, </w:t>
      </w:r>
      <w:r w:rsidR="00EC75BC" w:rsidRPr="0083348F">
        <w:rPr>
          <w:rFonts w:ascii="Bookman Old Style" w:hAnsi="Bookman Old Style" w:cs="Tahoma"/>
        </w:rPr>
        <w:t>z wyłączeniem jazdy pod wpływem alkoholu i środków odurzających;</w:t>
      </w:r>
      <w:r>
        <w:rPr>
          <w:rFonts w:ascii="Bookman Old Style" w:hAnsi="Bookman Old Style" w:cs="Tahoma"/>
        </w:rPr>
        <w:t xml:space="preserve"> nie mają zastosowania udziały własne dla tego typu zdarzeń (przewidziane w OWU);</w:t>
      </w:r>
    </w:p>
    <w:p w14:paraId="44432BB9"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uszkodzeniu pojazdu podczas naprawy, konserwacji itp. lub po przekazaniu pojazdu osobom trzecim w celu wykonania ww. prac;</w:t>
      </w:r>
    </w:p>
    <w:p w14:paraId="5FF13B1C" w14:textId="77777777" w:rsidR="00A52470" w:rsidRPr="0083348F" w:rsidRDefault="00A52470" w:rsidP="00111ECB">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bCs/>
        </w:rPr>
        <w:t>niewłaściwego załadowania (przeładowania) i przewożenia ładunku lub bagażu</w:t>
      </w:r>
      <w:r w:rsidR="00111ECB" w:rsidRPr="0083348F">
        <w:rPr>
          <w:rFonts w:ascii="Bookman Old Style" w:hAnsi="Bookman Old Style" w:cs="Tahoma"/>
          <w:bCs/>
        </w:rPr>
        <w:t xml:space="preserve"> w sytuacji, gdy ładunek został prawidłowo zabezpieczony,                  w sposób uniemożliwiający jego przesunięcie</w:t>
      </w:r>
      <w:r w:rsidRPr="0083348F">
        <w:rPr>
          <w:rFonts w:ascii="Bookman Old Style" w:hAnsi="Bookman Old Style" w:cs="Tahoma"/>
          <w:bCs/>
        </w:rPr>
        <w:t>; przy zastrzeżeniu, że nie dotyczy szkód wyrządzonych przez przedmioty przewożone w kabinie pojazdu;</w:t>
      </w:r>
    </w:p>
    <w:p w14:paraId="44759862" w14:textId="77777777" w:rsidR="00D93972" w:rsidRPr="00D93972" w:rsidRDefault="00A52470" w:rsidP="00D93972">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bCs/>
        </w:rPr>
        <w:t>wszelkich wypadków i kolizji drogowych, w tym wypadnięcia z trasy, dachowania, wpadnięcia w poślizg itp. nawet, jeśli przyczyną nie było zetknięcie się pojazdu z innym pojazdem, osobą, zwierzętami lub przedmiotem (np. ominięcie przeszkody);</w:t>
      </w:r>
    </w:p>
    <w:p w14:paraId="6E63C110"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pełna ochrona ubezpieczeniowa funkcjonuje w odniesieniu do szkód częściowych i całkowitych, zarówno szkód casco jak i szkód kradzieżowych;</w:t>
      </w:r>
    </w:p>
    <w:p w14:paraId="03F27E60"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bCs/>
          <w:sz w:val="22"/>
          <w:szCs w:val="22"/>
        </w:rPr>
        <w:t>Warunki szczególne</w:t>
      </w:r>
    </w:p>
    <w:p w14:paraId="08E6CA39" w14:textId="77777777" w:rsidR="00D93972" w:rsidRPr="00AF615E" w:rsidRDefault="00D93972" w:rsidP="00A52470">
      <w:pPr>
        <w:numPr>
          <w:ilvl w:val="0"/>
          <w:numId w:val="14"/>
        </w:numPr>
        <w:spacing w:after="0" w:line="360" w:lineRule="auto"/>
        <w:jc w:val="both"/>
        <w:rPr>
          <w:rFonts w:ascii="Bookman Old Style" w:hAnsi="Bookman Old Style" w:cs="Tahoma"/>
          <w:bCs/>
        </w:rPr>
      </w:pPr>
      <w:r>
        <w:rPr>
          <w:rFonts w:ascii="Bookman Old Style" w:hAnsi="Bookman Old Style" w:cs="Tahoma"/>
          <w:bCs/>
        </w:rPr>
        <w:t>Z umowy ubezpieczenia nie mogą być wyłączone pojazdy, które w poprzednim okresie ubezpieczenia miały szkodę.</w:t>
      </w:r>
    </w:p>
    <w:p w14:paraId="18E899AB" w14:textId="77777777" w:rsidR="00072F5E" w:rsidRDefault="00A52470" w:rsidP="00072F5E">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 xml:space="preserve">Wyposażenie dodatkowe pojazdu (w tym m.in. zestawy głośno mówiące, radioodtwarzacze, napisy reklamowe na karoserii pojazdów i inne składowe </w:t>
      </w:r>
      <w:r w:rsidRPr="00AF615E">
        <w:rPr>
          <w:rFonts w:ascii="Bookman Old Style" w:hAnsi="Bookman Old Style" w:cs="Tahoma"/>
          <w:bCs/>
        </w:rPr>
        <w:lastRenderedPageBreak/>
        <w:t>wyposażenia) objęte są ochroną po dodaniu ich wartości do sumy ubezpieczenia po</w:t>
      </w:r>
      <w:r w:rsidR="00072F5E">
        <w:rPr>
          <w:rFonts w:ascii="Bookman Old Style" w:hAnsi="Bookman Old Style" w:cs="Tahoma"/>
          <w:bCs/>
        </w:rPr>
        <w:t>jazdu ze stawką jak dla pojazdu.</w:t>
      </w:r>
    </w:p>
    <w:p w14:paraId="2E5BE800" w14:textId="77777777" w:rsidR="00072F5E" w:rsidRPr="006C576D" w:rsidRDefault="006C576D" w:rsidP="006C576D">
      <w:pPr>
        <w:numPr>
          <w:ilvl w:val="0"/>
          <w:numId w:val="14"/>
        </w:numPr>
        <w:spacing w:after="0" w:line="360" w:lineRule="auto"/>
        <w:jc w:val="both"/>
        <w:rPr>
          <w:rFonts w:ascii="Bookman Old Style" w:hAnsi="Bookman Old Style" w:cs="Tahoma"/>
          <w:b/>
          <w:bCs/>
          <w:color w:val="FF0000"/>
        </w:rPr>
      </w:pPr>
      <w:r w:rsidRPr="006C576D">
        <w:rPr>
          <w:rFonts w:ascii="Bookman Old Style" w:hAnsi="Bookman Old Style" w:cs="Tahoma"/>
          <w:b/>
          <w:bCs/>
          <w:color w:val="FF0000"/>
        </w:rPr>
        <w:t>Dla wyposażenia dodatkowego zastosowania mają limity wartości przewidziane w OWU Wykonawcy.</w:t>
      </w:r>
    </w:p>
    <w:p w14:paraId="16E0084B" w14:textId="77777777" w:rsidR="00A52470" w:rsidRPr="00AF615E" w:rsidRDefault="00A52470" w:rsidP="00A52470">
      <w:pPr>
        <w:numPr>
          <w:ilvl w:val="0"/>
          <w:numId w:val="14"/>
        </w:numPr>
        <w:spacing w:after="0" w:line="360" w:lineRule="auto"/>
        <w:rPr>
          <w:rFonts w:ascii="Bookman Old Style" w:hAnsi="Bookman Old Style" w:cs="Tahoma"/>
          <w:bCs/>
        </w:rPr>
      </w:pPr>
      <w:r w:rsidRPr="00AF615E">
        <w:rPr>
          <w:rFonts w:ascii="Bookman Old Style" w:hAnsi="Bookman Old Style" w:cs="Tahoma"/>
          <w:bCs/>
        </w:rPr>
        <w:t>Na wysokość odszkodowania nie będzie miał</w:t>
      </w:r>
      <w:r w:rsidR="00072F5E">
        <w:rPr>
          <w:rFonts w:ascii="Bookman Old Style" w:hAnsi="Bookman Old Style" w:cs="Tahoma"/>
          <w:bCs/>
        </w:rPr>
        <w:t>/</w:t>
      </w:r>
      <w:r w:rsidRPr="00AF615E">
        <w:rPr>
          <w:rFonts w:ascii="Bookman Old Style" w:hAnsi="Bookman Old Style" w:cs="Tahoma"/>
          <w:bCs/>
        </w:rPr>
        <w:t>a wpływu:</w:t>
      </w:r>
    </w:p>
    <w:p w14:paraId="2BAAD2E1" w14:textId="77777777" w:rsidR="00A52470" w:rsidRPr="00AF615E"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prędkość, z jaką poruszał się dany pojazd w chwili zaistnienia szkody;</w:t>
      </w:r>
    </w:p>
    <w:p w14:paraId="5368CCF7" w14:textId="77777777" w:rsidR="00A52470"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nierówność lub zła nawierzchnia drogi;</w:t>
      </w:r>
    </w:p>
    <w:p w14:paraId="768C07A7" w14:textId="77777777" w:rsidR="00072F5E" w:rsidRPr="00072F5E" w:rsidRDefault="00072F5E" w:rsidP="00072F5E">
      <w:pPr>
        <w:numPr>
          <w:ilvl w:val="0"/>
          <w:numId w:val="15"/>
        </w:numPr>
        <w:spacing w:after="0" w:line="360" w:lineRule="auto"/>
        <w:rPr>
          <w:rFonts w:ascii="Bookman Old Style" w:hAnsi="Bookman Old Style" w:cs="Tahoma"/>
          <w:bCs/>
        </w:rPr>
      </w:pPr>
      <w:r>
        <w:rPr>
          <w:rFonts w:ascii="Bookman Old Style" w:hAnsi="Bookman Old Style" w:cs="Tahoma"/>
          <w:bCs/>
        </w:rPr>
        <w:t>wiek kierującego pojazdem Zamawiającego;</w:t>
      </w:r>
    </w:p>
    <w:p w14:paraId="750E8F65"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niezastosowanie się do przepisów kodeksu drogowego (tj. niedopełnienie obowiązków wynikających z sygnałów, znaków drogowych, przepisów dotyczących bezwzględnego zatrzymania pojazdu, zakazu ruchu lub wjazdu, zakazu zatrzymania, zakazu wyprzedzania itp.);</w:t>
      </w:r>
    </w:p>
    <w:p w14:paraId="4AA00E1A"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brak ważnego badania technicznego lub odpowiedniej adno</w:t>
      </w:r>
      <w:r w:rsidR="00CC584D">
        <w:rPr>
          <w:rFonts w:ascii="Bookman Old Style" w:hAnsi="Bookman Old Style" w:cs="Tahoma"/>
          <w:bCs/>
        </w:rPr>
        <w:t xml:space="preserve">tacji w dowodzie rejestracyjnym </w:t>
      </w:r>
      <w:r w:rsidRPr="00AF615E">
        <w:rPr>
          <w:rFonts w:ascii="Bookman Old Style" w:hAnsi="Bookman Old Style" w:cs="Tahoma"/>
          <w:bCs/>
        </w:rPr>
        <w:t>o ile stan techniczny pojazdu nie przy</w:t>
      </w:r>
      <w:r w:rsidR="00072F5E">
        <w:rPr>
          <w:rFonts w:ascii="Bookman Old Style" w:hAnsi="Bookman Old Style" w:cs="Tahoma"/>
          <w:bCs/>
        </w:rPr>
        <w:t>czynił się do powstania szkody;</w:t>
      </w:r>
    </w:p>
    <w:p w14:paraId="7949D163"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nieposiadanie podczas kierowania pojazdem przez kierowcę ważnego dokumentu uprawniającego do kierowania pojazdem, o ile nie miało to wpływu na wystąpienie lub zwiększenie szkody, z zastrzeżeniem, że kierujący posiadał wcześniej uprawnienia do kierowania pojazdem, a ich ważność skończyła się nie więcej niż 30 dni przed datą spowodowania szkody;</w:t>
      </w:r>
      <w:r w:rsidR="00CC584D">
        <w:rPr>
          <w:rFonts w:ascii="Bookman Old Style" w:hAnsi="Bookman Old Style" w:cs="Tahoma"/>
          <w:bCs/>
        </w:rPr>
        <w:t xml:space="preserve"> </w:t>
      </w:r>
      <w:r w:rsidR="00CC584D" w:rsidRPr="0083348F">
        <w:rPr>
          <w:rFonts w:ascii="Bookman Old Style" w:hAnsi="Bookman Old Style" w:cs="Tahoma"/>
          <w:bCs/>
        </w:rPr>
        <w:t>z odpowiedzialności ubezpieczyciela wyłączone są szkody powstałe w trakcie  kierowania pojazdem przez kierowcę, któremu decyzją administracyjną odebrano dokumenty uprawniające do kierowania pojazdem ;</w:t>
      </w:r>
    </w:p>
    <w:p w14:paraId="1FF2A9EB" w14:textId="77777777" w:rsidR="00A52470"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niedopełnienie przez Ubezpieczonego lub kierującego pojazdem obowiązków związanych z powstaniem szkody, o ile nie miało to wpływu na ustalenie odpowiedzialności Ubezpieczyciela l</w:t>
      </w:r>
      <w:r w:rsidR="00072F5E">
        <w:rPr>
          <w:rFonts w:ascii="Bookman Old Style" w:hAnsi="Bookman Old Style" w:cs="Tahoma"/>
          <w:bCs/>
        </w:rPr>
        <w:t>ub zwiększenie rozmiarów szkody;</w:t>
      </w:r>
    </w:p>
    <w:p w14:paraId="3B6D6607" w14:textId="77777777" w:rsidR="00072F5E" w:rsidRPr="00AF615E" w:rsidRDefault="00072F5E" w:rsidP="00A52470">
      <w:pPr>
        <w:numPr>
          <w:ilvl w:val="0"/>
          <w:numId w:val="15"/>
        </w:numPr>
        <w:spacing w:after="0" w:line="360" w:lineRule="auto"/>
        <w:jc w:val="both"/>
        <w:rPr>
          <w:rFonts w:ascii="Bookman Old Style" w:hAnsi="Bookman Old Style" w:cs="Tahoma"/>
          <w:bCs/>
        </w:rPr>
      </w:pPr>
      <w:r>
        <w:rPr>
          <w:rFonts w:ascii="Bookman Old Style" w:hAnsi="Bookman Old Style" w:cs="Tahoma"/>
          <w:bCs/>
        </w:rPr>
        <w:t>liczba szkód na jeden i/lub wszystkie pojazdy w posiadaniu Zamawiającego;</w:t>
      </w:r>
    </w:p>
    <w:p w14:paraId="6EEFE339" w14:textId="77777777" w:rsidR="00A52470" w:rsidRDefault="00A52470" w:rsidP="00A52470">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 przypadku szkody powstałej w wyniku rozboju, rabunku, kradzieży zuchwałej Ubezpieczyciel odstąpi od obowiązku złożenia przez Ubezpieczonego dowodu rejestracyjnego i kluczyków do pojazdu, jeżeli zaginięcie ich zostało zgłoszone Policji w związku z przedmiotem zdarzeniem.</w:t>
      </w:r>
    </w:p>
    <w:p w14:paraId="03ECE2E5" w14:textId="77777777" w:rsidR="00AF615E" w:rsidRDefault="00AF615E" w:rsidP="00AF615E">
      <w:pPr>
        <w:spacing w:after="0" w:line="360" w:lineRule="auto"/>
        <w:ind w:left="721"/>
        <w:jc w:val="both"/>
        <w:rPr>
          <w:rFonts w:ascii="Bookman Old Style" w:hAnsi="Bookman Old Style" w:cs="Tahoma"/>
          <w:bCs/>
        </w:rPr>
      </w:pPr>
    </w:p>
    <w:p w14:paraId="31C90EEF" w14:textId="3DADB10E" w:rsidR="00453BA1" w:rsidRDefault="00453BA1" w:rsidP="00AF615E">
      <w:pPr>
        <w:spacing w:after="0" w:line="360" w:lineRule="auto"/>
        <w:ind w:left="721"/>
        <w:jc w:val="both"/>
        <w:rPr>
          <w:rFonts w:ascii="Bookman Old Style" w:hAnsi="Bookman Old Style" w:cs="Tahoma"/>
          <w:bCs/>
        </w:rPr>
      </w:pPr>
    </w:p>
    <w:p w14:paraId="4B6E3A3B" w14:textId="77777777" w:rsidR="00AA72C5" w:rsidRPr="00AF615E" w:rsidRDefault="00AA72C5" w:rsidP="00AF615E">
      <w:pPr>
        <w:spacing w:after="0" w:line="360" w:lineRule="auto"/>
        <w:ind w:left="721"/>
        <w:jc w:val="both"/>
        <w:rPr>
          <w:rFonts w:ascii="Bookman Old Style" w:hAnsi="Bookman Old Style" w:cs="Tahoma"/>
          <w:bCs/>
        </w:rPr>
      </w:pPr>
    </w:p>
    <w:p w14:paraId="094EB2F4"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lastRenderedPageBreak/>
        <w:t>Suma ubezpieczenia</w:t>
      </w:r>
    </w:p>
    <w:p w14:paraId="2B340319" w14:textId="77777777" w:rsidR="00A52470" w:rsidRPr="00AF615E" w:rsidRDefault="00A52470" w:rsidP="00A52470">
      <w:pPr>
        <w:numPr>
          <w:ilvl w:val="2"/>
          <w:numId w:val="16"/>
        </w:numPr>
        <w:tabs>
          <w:tab w:val="num" w:pos="540"/>
        </w:tabs>
        <w:spacing w:after="0" w:line="360" w:lineRule="auto"/>
        <w:ind w:left="993" w:hanging="426"/>
        <w:jc w:val="both"/>
        <w:rPr>
          <w:rFonts w:ascii="Bookman Old Style" w:hAnsi="Bookman Old Style" w:cs="Tahoma"/>
        </w:rPr>
      </w:pPr>
      <w:r w:rsidRPr="00AF615E">
        <w:rPr>
          <w:rFonts w:ascii="Bookman Old Style" w:hAnsi="Bookman Old Style" w:cs="Tahoma"/>
        </w:rPr>
        <w:t>Dla fabrycznie nowych pojazdów, przez okres do 6 (sześciu) miesięcy od daty  wystawienia faktury – suma ubezpieczenia ustalana będzie na podstawie faktury zakupu, bez podatku VAT podlegającego odliczeniu. Suma ubezpieczenia może zostać podwyższona o wartość wyposażenia dodatkowego.</w:t>
      </w:r>
    </w:p>
    <w:p w14:paraId="0567A25D" w14:textId="77777777" w:rsidR="00032534" w:rsidRDefault="00A52470" w:rsidP="00032534">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Dla pojazdów używanych suma ubezpieczenia określona na podstawie kat</w:t>
      </w:r>
      <w:r w:rsidR="0095371B">
        <w:rPr>
          <w:rFonts w:ascii="Bookman Old Style" w:hAnsi="Bookman Old Style" w:cs="Tahoma"/>
        </w:rPr>
        <w:t>alogów INFO-EXPERT lub EUROTAX.</w:t>
      </w:r>
    </w:p>
    <w:p w14:paraId="73CC79D0" w14:textId="77777777" w:rsidR="0095371B" w:rsidRPr="00032534" w:rsidRDefault="0095371B" w:rsidP="00032534">
      <w:pPr>
        <w:numPr>
          <w:ilvl w:val="2"/>
          <w:numId w:val="16"/>
        </w:numPr>
        <w:tabs>
          <w:tab w:val="num" w:pos="993"/>
        </w:tabs>
        <w:spacing w:after="0" w:line="360" w:lineRule="auto"/>
        <w:ind w:left="993" w:hanging="425"/>
        <w:jc w:val="both"/>
        <w:rPr>
          <w:rFonts w:ascii="Bookman Old Style" w:hAnsi="Bookman Old Style" w:cs="Tahoma"/>
        </w:rPr>
      </w:pPr>
      <w:r w:rsidRPr="00032534">
        <w:rPr>
          <w:rFonts w:ascii="Bookman Old Style" w:hAnsi="Bookman Old Style" w:cs="Tahoma"/>
        </w:rPr>
        <w:t xml:space="preserve">Przez cały okres obowiązywania umowy AC dla każdego pojazdu obowiązuje gwarantowana suma ubezpieczenia wskazana w polisie, która ma zastosowanie także do wyliczenia wartości pojazdu na dzień szkody (nie mają zastosowania postanowienia uzależniające wartość pojazdu </w:t>
      </w:r>
      <w:r w:rsidR="00D85F1E">
        <w:rPr>
          <w:rFonts w:ascii="Bookman Old Style" w:hAnsi="Bookman Old Style" w:cs="Tahoma"/>
        </w:rPr>
        <w:t xml:space="preserve">w </w:t>
      </w:r>
      <w:r w:rsidRPr="00032534">
        <w:rPr>
          <w:rFonts w:ascii="Bookman Old Style" w:hAnsi="Bookman Old Style" w:cs="Tahoma"/>
        </w:rPr>
        <w:t>dniu szkody od wartości rzeczywistej pojazdu).</w:t>
      </w:r>
      <w:r w:rsidR="00032534" w:rsidRPr="00032534">
        <w:t xml:space="preserve"> </w:t>
      </w:r>
      <w:r w:rsidR="00032534" w:rsidRPr="00032534">
        <w:rPr>
          <w:rFonts w:ascii="Bookman Old Style" w:hAnsi="Bookman Old Style" w:cs="Tahoma"/>
          <w:b/>
          <w:color w:val="FF0000"/>
        </w:rPr>
        <w:t>Dotyczy szkód całkowitych oraz pojazdów do 10 roku eksploatacji.</w:t>
      </w:r>
    </w:p>
    <w:p w14:paraId="066A0AF7"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 xml:space="preserve">Ubezpieczyciel uznaje sumy ubezpieczenia podane przez Zamawiającego </w:t>
      </w:r>
      <w:r w:rsidR="00E15512">
        <w:rPr>
          <w:rFonts w:ascii="Bookman Old Style" w:hAnsi="Bookman Old Style" w:cs="Tahoma"/>
        </w:rPr>
        <w:t xml:space="preserve">        </w:t>
      </w:r>
      <w:r w:rsidRPr="00AF615E">
        <w:rPr>
          <w:rFonts w:ascii="Bookman Old Style" w:hAnsi="Bookman Old Style" w:cs="Tahoma"/>
        </w:rPr>
        <w:t>i nie będzie podnosił z tego tytułu zarzutów w postaci niedoubezpieczenia lub nadubezpieczenia.</w:t>
      </w:r>
    </w:p>
    <w:p w14:paraId="2D335683"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W  każdym przypadku dodatkowe wyposażenie pojazdu w postaci:</w:t>
      </w:r>
    </w:p>
    <w:p w14:paraId="258A9C95"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radioodbiorników, bagażników zewnętrznych, napisów i naklejek reklamowych itp. (standardowe wyposażenie dodatkowe),</w:t>
      </w:r>
    </w:p>
    <w:p w14:paraId="51A5D46C"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telefonów, zestawów głośnomówiących,</w:t>
      </w:r>
    </w:p>
    <w:p w14:paraId="61D31A55" w14:textId="77777777" w:rsidR="00A52470" w:rsidRPr="00AF615E" w:rsidRDefault="00A52470" w:rsidP="00A52470">
      <w:pPr>
        <w:tabs>
          <w:tab w:val="num" w:pos="567"/>
        </w:tabs>
        <w:spacing w:line="360" w:lineRule="auto"/>
        <w:ind w:left="567" w:hanging="567"/>
        <w:jc w:val="both"/>
        <w:rPr>
          <w:rFonts w:ascii="Bookman Old Style" w:hAnsi="Bookman Old Style" w:cs="Tahoma"/>
        </w:rPr>
      </w:pPr>
      <w:r w:rsidRPr="00AF615E">
        <w:rPr>
          <w:rFonts w:ascii="Bookman Old Style" w:hAnsi="Bookman Old Style" w:cs="Tahoma"/>
        </w:rPr>
        <w:t xml:space="preserve">      </w:t>
      </w:r>
      <w:r w:rsidRPr="00AF615E">
        <w:rPr>
          <w:rFonts w:ascii="Bookman Old Style" w:hAnsi="Bookman Old Style" w:cs="Tahoma"/>
        </w:rPr>
        <w:tab/>
      </w:r>
      <w:r w:rsidRPr="00AF615E">
        <w:rPr>
          <w:rFonts w:ascii="Bookman Old Style" w:hAnsi="Bookman Old Style" w:cs="Tahoma"/>
        </w:rPr>
        <w:tab/>
        <w:t xml:space="preserve">    ubezpieczone jest razem z pojazdem, a jego wartość zawarta jest w sumie ubezpieczenia.</w:t>
      </w:r>
    </w:p>
    <w:p w14:paraId="7AA62CAE"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Suma ubezpieczenia nie będzie ulegała redukcji po wypłacie odszkodowania.</w:t>
      </w:r>
    </w:p>
    <w:p w14:paraId="540D0E70"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 xml:space="preserve">Suma ubezpieczenia obejmuje </w:t>
      </w:r>
      <w:r w:rsidR="00D93972">
        <w:rPr>
          <w:rFonts w:ascii="Bookman Old Style" w:hAnsi="Bookman Old Style" w:cs="Tahoma"/>
        </w:rPr>
        <w:t>wartość wyposażenia dodatkowego.</w:t>
      </w:r>
    </w:p>
    <w:p w14:paraId="13EFC904" w14:textId="77777777" w:rsidR="00A52470" w:rsidRPr="00AF615E" w:rsidRDefault="00A52470" w:rsidP="00A52470">
      <w:pPr>
        <w:numPr>
          <w:ilvl w:val="2"/>
          <w:numId w:val="16"/>
        </w:numPr>
        <w:tabs>
          <w:tab w:val="clear" w:pos="567"/>
          <w:tab w:val="num" w:pos="284"/>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Sumy ubezpieczenia ulegną aktualizacji przed zawarciem polisy rocznej do wartości rynkowej (zastosowanie do wyliczenia składki przy zweryfikowanej sumie ubezpieczenia będzie mieć stawka podana w Formularzu Ofertowym).</w:t>
      </w:r>
    </w:p>
    <w:p w14:paraId="70FF4843"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0C8419D2"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Ustalenie wysokości i wypłata odszkodowania.</w:t>
      </w:r>
    </w:p>
    <w:p w14:paraId="42DF3AEC"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W przypadku powstania szkody częściowej Ubezpieczyciel nie będzie potrącał amortyzacji części (nie dotyczy </w:t>
      </w:r>
      <w:r w:rsidR="00530C71">
        <w:rPr>
          <w:rFonts w:ascii="Bookman Old Style" w:hAnsi="Bookman Old Style" w:cs="Tahoma"/>
          <w:bCs/>
          <w:color w:val="000000" w:themeColor="text1"/>
          <w:lang w:eastAsia="ar-SA"/>
        </w:rPr>
        <w:t>– pod warunkiem zawarcia takich postanowień w OWU Wykonawcy</w:t>
      </w:r>
      <w:r w:rsidR="00530C71">
        <w:rPr>
          <w:rFonts w:ascii="Bookman Old Style" w:hAnsi="Bookman Old Style" w:cs="Tahoma"/>
        </w:rPr>
        <w:t xml:space="preserve">: </w:t>
      </w:r>
      <w:r w:rsidRPr="00AF615E">
        <w:rPr>
          <w:rFonts w:ascii="Bookman Old Style" w:hAnsi="Bookman Old Style" w:cs="Tahoma"/>
        </w:rPr>
        <w:t xml:space="preserve">ogumienia, akumulatorów, elementów ciernych układu hamulcowego, elementów ciernych sprzęgła, elementów </w:t>
      </w:r>
      <w:r w:rsidRPr="00AF615E">
        <w:rPr>
          <w:rFonts w:ascii="Bookman Old Style" w:hAnsi="Bookman Old Style" w:cs="Tahoma"/>
        </w:rPr>
        <w:lastRenderedPageBreak/>
        <w:t xml:space="preserve">układu wydechowego i innych ulegających zużyciu w trakcie normalnej eksploatacji pojazdu). </w:t>
      </w:r>
    </w:p>
    <w:p w14:paraId="08E43AF7" w14:textId="0DF4BF91"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Ubezpieczyciel nie będzie stosował franszyzy redukcyjnej </w:t>
      </w:r>
      <w:r w:rsidR="0095371B">
        <w:rPr>
          <w:rFonts w:ascii="Bookman Old Style" w:hAnsi="Bookman Old Style" w:cs="Tahoma"/>
        </w:rPr>
        <w:t>ani udziału własnego w szkodzie, bez względu na okoliczności zdarzenia, z</w:t>
      </w:r>
      <w:r w:rsidR="00AA72C5">
        <w:rPr>
          <w:rFonts w:ascii="Bookman Old Style" w:hAnsi="Bookman Old Style" w:cs="Tahoma"/>
        </w:rPr>
        <w:t> </w:t>
      </w:r>
      <w:r w:rsidR="0095371B">
        <w:rPr>
          <w:rFonts w:ascii="Bookman Old Style" w:hAnsi="Bookman Old Style" w:cs="Tahoma"/>
        </w:rPr>
        <w:t>zastrzeżeniem postanowień klauzul wskazanych w OPZ.</w:t>
      </w:r>
    </w:p>
    <w:p w14:paraId="36B6D74B"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strike/>
          <w:color w:val="FF0000"/>
        </w:rPr>
      </w:pPr>
      <w:r w:rsidRPr="00AF615E">
        <w:rPr>
          <w:rFonts w:ascii="Bookman Old Style" w:hAnsi="Bookman Old Style" w:cs="Tahoma"/>
        </w:rPr>
        <w:t>Wypłata odszkodowania nastąpi na podstawie faktur za naprawę uszkodzonego pojazdu;.</w:t>
      </w:r>
    </w:p>
    <w:p w14:paraId="1F6E2F9D"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Nie dopuszcza się stosowania zasady proporcji.</w:t>
      </w:r>
    </w:p>
    <w:p w14:paraId="61256BEE"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i/>
          <w:iCs/>
          <w:u w:val="single"/>
        </w:rPr>
      </w:pPr>
      <w:r w:rsidRPr="00AF615E">
        <w:rPr>
          <w:rFonts w:ascii="Bookman Old Style" w:hAnsi="Bookman Old Style" w:cs="Tahoma"/>
        </w:rPr>
        <w:t>Za szkodę całkowitą przedmiotu ubezpieczenia uważa się szkodę, w której koszt naprawy przekracza 70% wartości pojazdu przed szkodą.</w:t>
      </w:r>
    </w:p>
    <w:p w14:paraId="73AA77C1" w14:textId="77777777" w:rsidR="00A52470" w:rsidRPr="00AF615E" w:rsidRDefault="00A52470" w:rsidP="00AF615E">
      <w:pPr>
        <w:numPr>
          <w:ilvl w:val="0"/>
          <w:numId w:val="17"/>
        </w:numPr>
        <w:tabs>
          <w:tab w:val="clear" w:pos="757"/>
          <w:tab w:val="num" w:pos="993"/>
        </w:tabs>
        <w:spacing w:after="0" w:line="360" w:lineRule="auto"/>
        <w:ind w:left="907"/>
        <w:jc w:val="both"/>
        <w:rPr>
          <w:rFonts w:ascii="Bookman Old Style" w:hAnsi="Bookman Old Style" w:cs="Tahoma"/>
          <w:i/>
          <w:iCs/>
          <w:u w:val="single"/>
        </w:rPr>
      </w:pPr>
      <w:r w:rsidRPr="00AF615E">
        <w:rPr>
          <w:rFonts w:ascii="Bookman Old Style" w:hAnsi="Bookman Old Style" w:cs="Tahoma"/>
        </w:rPr>
        <w:t>W przypadku szkody całkowitej wypłacane będzie odszkodowanie do wysokości wartości rynkowej pojazdu bezpośrednio przed szkodą. Za</w:t>
      </w:r>
      <w:r w:rsidR="00AF615E">
        <w:rPr>
          <w:rFonts w:ascii="Bookman Old Style" w:hAnsi="Bookman Old Style" w:cs="Tahoma"/>
        </w:rPr>
        <w:t xml:space="preserve"> </w:t>
      </w:r>
      <w:r w:rsidRPr="00AF615E">
        <w:rPr>
          <w:rFonts w:ascii="Bookman Old Style" w:hAnsi="Bookman Old Style" w:cs="Tahoma"/>
        </w:rPr>
        <w:t>wartość rynkową pojazdu uznaje się:</w:t>
      </w:r>
    </w:p>
    <w:p w14:paraId="6DC10F56" w14:textId="77777777" w:rsidR="00A52470" w:rsidRPr="00AF615E" w:rsidRDefault="00A52470" w:rsidP="00A52470">
      <w:pPr>
        <w:spacing w:line="360" w:lineRule="auto"/>
        <w:ind w:left="993"/>
        <w:jc w:val="both"/>
        <w:rPr>
          <w:rFonts w:ascii="Bookman Old Style" w:hAnsi="Bookman Old Style" w:cs="Tahoma"/>
        </w:rPr>
      </w:pPr>
      <w:r w:rsidRPr="00AF615E">
        <w:rPr>
          <w:rFonts w:ascii="Bookman Old Style" w:hAnsi="Bookman Old Style" w:cs="Tahoma"/>
        </w:rPr>
        <w:t>•</w:t>
      </w:r>
      <w:r w:rsidRPr="00AF615E">
        <w:rPr>
          <w:rFonts w:ascii="Bookman Old Style" w:hAnsi="Bookman Old Style" w:cs="Tahoma"/>
        </w:rPr>
        <w:tab/>
        <w:t>dla pojazdów fabrycznie nowych, przez okres do 6 (sześciu) miesięcy od daty  wystawienia faktury – wartość fakturową (z uwzględnieniem wartości wyposażenia dodatkowego);</w:t>
      </w:r>
    </w:p>
    <w:p w14:paraId="2276498F" w14:textId="77777777" w:rsidR="00A52470" w:rsidRPr="00AF615E" w:rsidRDefault="00A52470" w:rsidP="00D86FDE">
      <w:pPr>
        <w:spacing w:line="360" w:lineRule="auto"/>
        <w:ind w:left="993"/>
        <w:jc w:val="both"/>
        <w:rPr>
          <w:rFonts w:ascii="Bookman Old Style" w:hAnsi="Bookman Old Style" w:cs="Tahoma"/>
        </w:rPr>
      </w:pPr>
      <w:r w:rsidRPr="00AF615E">
        <w:rPr>
          <w:rFonts w:ascii="Bookman Old Style" w:hAnsi="Bookman Old Style" w:cs="Tahoma"/>
        </w:rPr>
        <w:t>•</w:t>
      </w:r>
      <w:r w:rsidRPr="00AF615E">
        <w:rPr>
          <w:rFonts w:ascii="Bookman Old Style" w:hAnsi="Bookman Old Style" w:cs="Tahoma"/>
        </w:rPr>
        <w:tab/>
        <w:t>dla pozostałych pojazdów sumę ubezpieczenia pojazdu przyjętą w polisie ubezpieczenia.</w:t>
      </w:r>
    </w:p>
    <w:p w14:paraId="2EF0BB68"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rPr>
        <w:t xml:space="preserve">Ubezpieczyciel na wniosek Zamawiającego </w:t>
      </w:r>
      <w:r w:rsidR="00D86FDE" w:rsidRPr="00AF615E">
        <w:rPr>
          <w:rFonts w:ascii="Bookman Old Style" w:hAnsi="Bookman Old Style" w:cs="Tahoma"/>
        </w:rPr>
        <w:t>zorganizuje sprzedaż</w:t>
      </w:r>
      <w:r w:rsidRPr="00AF615E">
        <w:rPr>
          <w:rFonts w:ascii="Bookman Old Style" w:hAnsi="Bookman Old Style" w:cs="Tahoma"/>
        </w:rPr>
        <w:t xml:space="preserve"> pozostałości po szkodzie za wyliczona wartość pozostałości. </w:t>
      </w:r>
    </w:p>
    <w:p w14:paraId="6452510E"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pojazd został uszkodzony za granicą RP, może zostać naprawiony za granicą w zakresie niezbędnym do kontynuowania bezpiecznej jazdy, przy czym koszty naprawy nie mogą w takim przypadku przekroczyć 1 200,00 euro lub równowartości tej kwoty w innych walutach obcych.</w:t>
      </w:r>
    </w:p>
    <w:p w14:paraId="44FC82D7"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koszt naprawy przekracza kwotę 1 200,00 euro, naprawa pojazdu za granicą RP może nastąpić po uzgodnieniu z Ubezpieczycielem.</w:t>
      </w:r>
    </w:p>
    <w:p w14:paraId="26345C81"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Jeśli koszty naprawy zostały poniesione bezpośrednio przez Ubezpieczonego lub osobę uprawnioną do korzystania z pojazdu, zwrot tych kosztów następuje w RP na podstawie oryginałów imiennych rachunków lub faktur VAT oraz dowodów ich zapłaty.</w:t>
      </w:r>
    </w:p>
    <w:p w14:paraId="41CD9801"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 xml:space="preserve">Koszty naprawy pojazdu poniesione w walucie obcej zwracane są w złotych </w:t>
      </w:r>
      <w:r w:rsidR="00E15512">
        <w:rPr>
          <w:rFonts w:ascii="Bookman Old Style" w:hAnsi="Bookman Old Style" w:cs="Tahoma"/>
          <w:iCs/>
        </w:rPr>
        <w:t xml:space="preserve">     </w:t>
      </w:r>
      <w:r w:rsidRPr="00AF615E">
        <w:rPr>
          <w:rFonts w:ascii="Bookman Old Style" w:hAnsi="Bookman Old Style" w:cs="Tahoma"/>
          <w:iCs/>
        </w:rPr>
        <w:t xml:space="preserve">w kwocie obliczonej  według kursu średniego walut ogłaszanego przez NBP </w:t>
      </w:r>
      <w:r w:rsidR="00E15512">
        <w:rPr>
          <w:rFonts w:ascii="Bookman Old Style" w:hAnsi="Bookman Old Style" w:cs="Tahoma"/>
          <w:iCs/>
        </w:rPr>
        <w:t xml:space="preserve">      </w:t>
      </w:r>
      <w:r w:rsidRPr="00AF615E">
        <w:rPr>
          <w:rFonts w:ascii="Bookman Old Style" w:hAnsi="Bookman Old Style" w:cs="Tahoma"/>
          <w:iCs/>
        </w:rPr>
        <w:t>w dniu wykonania naprawy</w:t>
      </w:r>
      <w:r w:rsidRPr="00AF615E">
        <w:rPr>
          <w:rFonts w:ascii="Bookman Old Style" w:hAnsi="Bookman Old Style" w:cs="Tahoma"/>
        </w:rPr>
        <w:t xml:space="preserve">. </w:t>
      </w:r>
    </w:p>
    <w:p w14:paraId="074D41B9"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39DF0424"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i/>
          <w:iCs/>
          <w:sz w:val="22"/>
          <w:szCs w:val="22"/>
          <w:u w:val="single"/>
        </w:rPr>
      </w:pPr>
      <w:r w:rsidRPr="00AF615E">
        <w:rPr>
          <w:rFonts w:ascii="Bookman Old Style" w:hAnsi="Bookman Old Style" w:cs="Tahoma"/>
          <w:iCs/>
          <w:sz w:val="22"/>
          <w:szCs w:val="22"/>
          <w:u w:val="single"/>
        </w:rPr>
        <w:lastRenderedPageBreak/>
        <w:t>PROCEDURA LIKWIDACJI SZKÓD z AUTOCASCO</w:t>
      </w:r>
      <w:r w:rsidRPr="00AF615E">
        <w:rPr>
          <w:rFonts w:ascii="Bookman Old Style" w:hAnsi="Bookman Old Style" w:cs="Tahoma"/>
          <w:i/>
          <w:iCs/>
          <w:sz w:val="22"/>
          <w:szCs w:val="22"/>
          <w:u w:val="single"/>
        </w:rPr>
        <w:t xml:space="preserve"> </w:t>
      </w:r>
    </w:p>
    <w:p w14:paraId="3BAE99D1"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Zawiadomienie Ubezpieczyciela o szkodzie winno nastąpić niezwłocznie, nie później jednak niż w ciągu 7 dni roboczych od daty powstania szkody lub uzyskania o niej wiadomości. Zgłoszenie dokonywane jest telefonicznie lub za pośrednictwem poczty elektronicznej na wskazany przez Ubezpieczyciela adres e-mail (Ubezpieczyciel zobowiązany jest do wyznaczenia dedykowanego likwidatora szkód ). Niedopełnienie obowiązku zgłoszenia w terminie szkody przez Ubezpieczonego nie będzie miało wpływu na uznanie przez Ubezpieczyciela roszczenia oraz ustalenie jego wysokości pod warunkiem, że niezgłoszenie szkody nie wpłynęło na zwiększenie wartości szkody lub jej rozmiarów.</w:t>
      </w:r>
    </w:p>
    <w:p w14:paraId="344FBE5E"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czynów karalnych w szczególności takich jak kradzież, włamanie, dewastacja Ubezpieczony zobowiązany jest niezwłocznie powiadomić Policję, nie później niż w ciągu 12 godziny od stwierdzenia faktu zaistnienia szkody.</w:t>
      </w:r>
    </w:p>
    <w:p w14:paraId="7246F503"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zobowiązany jest prowadzić postępowanie zmierzające do wyjaśnienia okoliczności związanych ze szkodą (np. ustalenie przebiegu zdarzenia, ustalenie osoby sprawcy) i wypłacić należne odszkodowanie, bez konieczności oczekiwania na prawomocne postanowienie kończące postępowanie karne lub cywilne w sprawie dotyczącej szkody. </w:t>
      </w:r>
    </w:p>
    <w:p w14:paraId="27325E44" w14:textId="39F31864"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Ubezpieczyciel dokona oględzin uszkodzonego pojazdu najpóźniej w ciągu 3</w:t>
      </w:r>
      <w:r w:rsidR="00AA72C5">
        <w:rPr>
          <w:rFonts w:ascii="Bookman Old Style" w:hAnsi="Bookman Old Style" w:cs="Tahoma"/>
          <w:iCs/>
        </w:rPr>
        <w:t> </w:t>
      </w:r>
      <w:r w:rsidRPr="00AF615E">
        <w:rPr>
          <w:rFonts w:ascii="Bookman Old Style" w:hAnsi="Bookman Old Style" w:cs="Tahoma"/>
          <w:iCs/>
        </w:rPr>
        <w:t xml:space="preserve">dni roboczych od zgłoszenia przez Ubezpieczonego miejsca wykonania oględzin. W ciągu kolejnych 2 dni roboczych Ubezpieczyciel sporządzi </w:t>
      </w:r>
      <w:r w:rsidR="00E15512">
        <w:rPr>
          <w:rFonts w:ascii="Bookman Old Style" w:hAnsi="Bookman Old Style" w:cs="Tahoma"/>
          <w:iCs/>
        </w:rPr>
        <w:t xml:space="preserve">                   </w:t>
      </w:r>
      <w:r w:rsidRPr="00AF615E">
        <w:rPr>
          <w:rFonts w:ascii="Bookman Old Style" w:hAnsi="Bookman Old Style" w:cs="Tahoma"/>
          <w:iCs/>
        </w:rPr>
        <w:t xml:space="preserve">i dostarczy Ubezpieczonemu protokół z oględzin. Jeśli Ubezpieczyciel </w:t>
      </w:r>
      <w:r w:rsidR="00E15512">
        <w:rPr>
          <w:rFonts w:ascii="Bookman Old Style" w:hAnsi="Bookman Old Style" w:cs="Tahoma"/>
          <w:iCs/>
        </w:rPr>
        <w:t xml:space="preserve">                  </w:t>
      </w:r>
      <w:r w:rsidRPr="00AF615E">
        <w:rPr>
          <w:rFonts w:ascii="Bookman Old Style" w:hAnsi="Bookman Old Style" w:cs="Tahoma"/>
          <w:iCs/>
        </w:rPr>
        <w:t>w protokole z oględzin zakwalifikuje szkodę jako całkowitą, może dokonać oględzin dodatkowych i potwierdzić kwalifikację szkody jako całkowitą, nie później niż w ciągu 3 dni roboczych od dnia dostarczenia pierwszego protokołu z oględzin.</w:t>
      </w:r>
    </w:p>
    <w:p w14:paraId="52571904"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szkód nie przekraczających szacunkowej wartości 2.000,00 PLN, Ubezpieczony może dokonać likwidacji szkody zgodnie z Klauzulą samodzielnej likwidacji szkody drobnej dla Autocasco.</w:t>
      </w:r>
    </w:p>
    <w:p w14:paraId="72677EC6"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Odszkodowanie każdorazowo jest powiększone o koszty akcji ratowniczej, czynności mających na celu zapobieżenie powstania bądź zwiększenia szkody, ekspertyz szkodowych oraz inne koszty, zgodnie z pozostałymi postanowieniami szczególnymi.</w:t>
      </w:r>
    </w:p>
    <w:p w14:paraId="07776759" w14:textId="6786654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przypadkach, gdy do likwidacji szkody niezbędne będą dodatkowe dokumenty, Ubezpieczyciel poinformuje o tym Ubezpieczonego w terminie </w:t>
      </w:r>
      <w:r w:rsidRPr="00AF615E">
        <w:rPr>
          <w:rFonts w:ascii="Bookman Old Style" w:hAnsi="Bookman Old Style" w:cs="Tahoma"/>
          <w:iCs/>
        </w:rPr>
        <w:lastRenderedPageBreak/>
        <w:t>2</w:t>
      </w:r>
      <w:r w:rsidR="00AA72C5">
        <w:rPr>
          <w:rFonts w:ascii="Bookman Old Style" w:hAnsi="Bookman Old Style" w:cs="Tahoma"/>
          <w:iCs/>
        </w:rPr>
        <w:t> </w:t>
      </w:r>
      <w:r w:rsidRPr="00AF615E">
        <w:rPr>
          <w:rFonts w:ascii="Bookman Old Style" w:hAnsi="Bookman Old Style" w:cs="Tahoma"/>
          <w:iCs/>
        </w:rPr>
        <w:t xml:space="preserve">dni roboczych od momentu przesłania dokumentów. W przypadku gdyby dodatkowe dokumenty okazały się niewystarczające Zakład Ubezpieczeń może w terminie 2 dni roboczych od momentu ich nadesłania zwrócić się ostatni raz o ich uzupełnienie. </w:t>
      </w:r>
    </w:p>
    <w:p w14:paraId="0AC466BA"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obowiązany jest do wypłaty odszkodowania w terminie 30 dni od daty otrzymania zgłoszenia szkody. </w:t>
      </w:r>
    </w:p>
    <w:p w14:paraId="2BA59330" w14:textId="77777777" w:rsidR="00A52470" w:rsidRPr="0083348F" w:rsidRDefault="00A52470" w:rsidP="0083348F">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Jeżeli w terminie 30 dni od otrzymania zgłoszenia szkody wyjaśnienie okoliczności koniecznych do ustalenia odpowiedzialności Ubezpieczyciela albo wysokości odszkodowania okazało się niemożliwe, odszkodowanie wypłaca się w terminie 14 dni od wyjaśnienia tych okoliczności. </w:t>
      </w:r>
    </w:p>
    <w:p w14:paraId="0A0C52F6"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bCs/>
          <w:sz w:val="22"/>
          <w:szCs w:val="22"/>
        </w:rPr>
        <w:t xml:space="preserve">Warunki szczególne dotyczące likwidacji szkód. </w:t>
      </w:r>
    </w:p>
    <w:p w14:paraId="15D75587"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Naprawa powypadkowa w wytypowanych przez Ubezpieczonego autoryzowanych serwisach i innych warsztatach samochodowych, w systemie bezgotówkowym.</w:t>
      </w:r>
    </w:p>
    <w:p w14:paraId="00F8CB54"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 xml:space="preserve">Oględziny dokonywane w autoryzowanych serwisach, warsztatach lub </w:t>
      </w:r>
      <w:r w:rsidR="00E15512">
        <w:rPr>
          <w:rFonts w:ascii="Bookman Old Style" w:hAnsi="Bookman Old Style" w:cs="Tahoma"/>
          <w:bCs/>
        </w:rPr>
        <w:t xml:space="preserve">               </w:t>
      </w:r>
      <w:r w:rsidRPr="00AF615E">
        <w:rPr>
          <w:rFonts w:ascii="Bookman Old Style" w:hAnsi="Bookman Old Style" w:cs="Tahoma"/>
          <w:bCs/>
        </w:rPr>
        <w:t>w miejscach wskazanych przez Ubezpieczonego.</w:t>
      </w:r>
    </w:p>
    <w:p w14:paraId="639CFA3B"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Odszkodowanie wypłacane będzie:</w:t>
      </w:r>
    </w:p>
    <w:p w14:paraId="1838836D"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z uwzględnieniem oryginalnych części zamiennych, pod warunkiem, że części do wymiany są oryginalne;</w:t>
      </w:r>
    </w:p>
    <w:p w14:paraId="4B16B14E"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wprowadzania jakichkolwiek udziałów własnych (franszyz redukcyjnych) w szkodach bez względu na ich rodzaj;</w:t>
      </w:r>
    </w:p>
    <w:p w14:paraId="409CECD4" w14:textId="4B886C11"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 xml:space="preserve">bez stosowania pomniejszania cen części zamiennych (zespołów) zakwalifikowanych do wymiany o wskaźniki procentowe w zależności od okresu eksploatacji pojazdu, a także bez potrącania jakiegokolwiek innego zużycia </w:t>
      </w:r>
      <w:r w:rsidR="0095371B">
        <w:rPr>
          <w:rFonts w:ascii="Bookman Old Style" w:hAnsi="Bookman Old Style" w:cs="Tahoma"/>
          <w:bCs/>
        </w:rPr>
        <w:t>eksploatacyjnego (amortyzacji);</w:t>
      </w:r>
      <w:r w:rsidRPr="00AF615E">
        <w:rPr>
          <w:rFonts w:ascii="Bookman Old Style" w:hAnsi="Bookman Old Style" w:cs="Tahoma"/>
          <w:bCs/>
        </w:rPr>
        <w:t xml:space="preserve"> nie dotyczy </w:t>
      </w:r>
      <w:r w:rsidR="0095371B">
        <w:rPr>
          <w:rFonts w:ascii="Bookman Old Style" w:hAnsi="Bookman Old Style" w:cs="Tahoma"/>
          <w:bCs/>
        </w:rPr>
        <w:t>– jeżeli wskazano w</w:t>
      </w:r>
      <w:r w:rsidR="00AA72C5">
        <w:rPr>
          <w:rFonts w:ascii="Bookman Old Style" w:hAnsi="Bookman Old Style" w:cs="Tahoma"/>
          <w:bCs/>
        </w:rPr>
        <w:t> </w:t>
      </w:r>
      <w:r w:rsidR="0095371B">
        <w:rPr>
          <w:rFonts w:ascii="Bookman Old Style" w:hAnsi="Bookman Old Style" w:cs="Tahoma"/>
          <w:bCs/>
        </w:rPr>
        <w:t xml:space="preserve">OWU - </w:t>
      </w:r>
      <w:r w:rsidRPr="00AF615E">
        <w:rPr>
          <w:rFonts w:ascii="Bookman Old Style" w:hAnsi="Bookman Old Style" w:cs="Tahoma"/>
          <w:bCs/>
        </w:rPr>
        <w:t>ogumienia, akumulatorów, elementów ciernych układu hamulcowego, elementów ciernych sprzęgła, elementów układu wydechowego i innych ulegających zużyciu w trakcie normalnej eksploatacji pojazdu - i bez stosowania urealnienia wartości części;</w:t>
      </w:r>
    </w:p>
    <w:p w14:paraId="5F3665A5"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stosowania zasady proporcji i niedoubezpieczenia.</w:t>
      </w:r>
    </w:p>
    <w:p w14:paraId="44E6429C"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W przypadku szkód całkowitych, Ubezpieczyciel każdorazowo udzieli aktywnej pomocy w zagospodarowaniu pozostałości uszkodzonego pojazdu  poprzez wskazanie wiążących ofert nabycia tych pozostałości.</w:t>
      </w:r>
    </w:p>
    <w:p w14:paraId="50962214" w14:textId="4589D43C"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Przyjmuje się, iż każda szkoda, której koszty naprawy przekroczą 70</w:t>
      </w:r>
      <w:r w:rsidR="00AA72C5">
        <w:rPr>
          <w:rFonts w:ascii="Bookman Old Style" w:hAnsi="Bookman Old Style" w:cs="Tahoma"/>
          <w:bCs/>
        </w:rPr>
        <w:t xml:space="preserve"> </w:t>
      </w:r>
      <w:r w:rsidRPr="00AF615E">
        <w:rPr>
          <w:rFonts w:ascii="Bookman Old Style" w:hAnsi="Bookman Old Style" w:cs="Tahoma"/>
          <w:bCs/>
        </w:rPr>
        <w:t>% wartości pojazdu</w:t>
      </w:r>
      <w:r w:rsidR="0095371B">
        <w:rPr>
          <w:rFonts w:ascii="Bookman Old Style" w:hAnsi="Bookman Old Style" w:cs="Tahoma"/>
          <w:bCs/>
        </w:rPr>
        <w:t xml:space="preserve"> (obowiązuje stała suma ubezpieczenia)</w:t>
      </w:r>
      <w:r w:rsidRPr="00AF615E">
        <w:rPr>
          <w:rFonts w:ascii="Bookman Old Style" w:hAnsi="Bookman Old Style" w:cs="Tahoma"/>
          <w:bCs/>
        </w:rPr>
        <w:t xml:space="preserve"> traktowana będzie jako szkoda całkowita.</w:t>
      </w:r>
    </w:p>
    <w:p w14:paraId="2AA63714"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lastRenderedPageBreak/>
        <w:t>Nie ma zastosowania konsumpcja ubezpieczenia po wypłacie odszkodowania - dotyczy szkód częściowych.</w:t>
      </w:r>
    </w:p>
    <w:p w14:paraId="459BBDA0"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Ubezpieczony zastrzega sobie prawo wyboru sposobu rozliczenia kosztów naprawy pojazdu:</w:t>
      </w:r>
    </w:p>
    <w:p w14:paraId="02C68848"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w oparciu o fakturę wystawioną przez wykonawcę naprawy;</w:t>
      </w:r>
    </w:p>
    <w:p w14:paraId="1566EDE1"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lub na zlecenie Ubezpieczonego;</w:t>
      </w:r>
    </w:p>
    <w:p w14:paraId="28C07B4D"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Ubezpieczyciela na wniosek Ubezpieczonego.</w:t>
      </w:r>
    </w:p>
    <w:p w14:paraId="7B470A0B" w14:textId="77777777" w:rsidR="00A52470" w:rsidRPr="00AF615E" w:rsidRDefault="00A52470" w:rsidP="00A52470">
      <w:pPr>
        <w:pStyle w:val="Tekstpodstawowy"/>
        <w:spacing w:line="360" w:lineRule="auto"/>
        <w:ind w:left="1068"/>
        <w:rPr>
          <w:rFonts w:ascii="Bookman Old Style" w:hAnsi="Bookman Old Style" w:cs="Tahoma"/>
          <w:b/>
          <w:bCs/>
        </w:rPr>
      </w:pPr>
    </w:p>
    <w:p w14:paraId="6F59365D"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Wymagane zabezpieczenia przeciwkradzieżowe. </w:t>
      </w:r>
    </w:p>
    <w:p w14:paraId="4C877D0E" w14:textId="77777777" w:rsidR="00A52470" w:rsidRPr="00AF615E" w:rsidRDefault="00A52470" w:rsidP="00A52470">
      <w:pPr>
        <w:pStyle w:val="Tekstpodstawowy3"/>
        <w:numPr>
          <w:ilvl w:val="0"/>
          <w:numId w:val="22"/>
        </w:numPr>
        <w:spacing w:after="0" w:line="360" w:lineRule="auto"/>
        <w:jc w:val="both"/>
        <w:rPr>
          <w:rFonts w:ascii="Bookman Old Style" w:hAnsi="Bookman Old Style" w:cs="Tahoma"/>
          <w:b/>
          <w:sz w:val="22"/>
          <w:szCs w:val="22"/>
        </w:rPr>
      </w:pPr>
      <w:r w:rsidRPr="00AF615E">
        <w:rPr>
          <w:rFonts w:ascii="Bookman Old Style" w:hAnsi="Bookman Old Style" w:cs="Tahoma"/>
          <w:sz w:val="22"/>
          <w:szCs w:val="22"/>
        </w:rPr>
        <w:t xml:space="preserve">Ustala się, że następujące zabezpieczenia przeciwkradzieżowe są wystarczające dla ubezpieczenia pojazdu od ryzyka kradzieży (wymagania dotyczące pojazdów nowozakupionych). </w:t>
      </w:r>
    </w:p>
    <w:p w14:paraId="04D551E3" w14:textId="77777777" w:rsidR="00A52470" w:rsidRPr="00AF615E" w:rsidRDefault="00A52470" w:rsidP="00A52470">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w pojazdach osobowych, ciężarowych w karoserii osobowych o sumie ubezpieczenia do 65 000,00 PLN netto co najmniej jedno atestowane urządzenie elektroniczne,</w:t>
      </w:r>
    </w:p>
    <w:p w14:paraId="06B3361A" w14:textId="77777777" w:rsidR="00D85F1E" w:rsidRDefault="00A52470"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color w:val="FF0000"/>
          <w:sz w:val="22"/>
          <w:szCs w:val="22"/>
        </w:rPr>
      </w:pPr>
      <w:r w:rsidRPr="00AF615E">
        <w:rPr>
          <w:rFonts w:ascii="Bookman Old Style" w:hAnsi="Bookman Old Style" w:cs="Tahoma"/>
          <w:sz w:val="22"/>
          <w:szCs w:val="22"/>
        </w:rPr>
        <w:t>w pojazdach osobowych, ciężarowych w karoserii osobowych o sumie ubezpieczenia powyżej 65 000,00 PLN netto co najmniej dwa różne, samodzielne, atestowane urządzeni</w:t>
      </w:r>
      <w:r w:rsidR="002C60A9">
        <w:rPr>
          <w:rFonts w:ascii="Bookman Old Style" w:hAnsi="Bookman Old Style" w:cs="Tahoma"/>
          <w:sz w:val="22"/>
          <w:szCs w:val="22"/>
        </w:rPr>
        <w:t xml:space="preserve">a elektroniczne w tym autoalarm </w:t>
      </w:r>
    </w:p>
    <w:p w14:paraId="242F459C" w14:textId="77777777" w:rsidR="00A52470" w:rsidRPr="00D85F1E" w:rsidRDefault="00D85F1E"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color w:val="FF0000"/>
          <w:sz w:val="22"/>
          <w:szCs w:val="22"/>
        </w:rPr>
      </w:pPr>
      <w:r w:rsidRPr="00D85F1E">
        <w:rPr>
          <w:rFonts w:ascii="Bookman Old Style" w:hAnsi="Bookman Old Style" w:cs="Tahoma"/>
          <w:b/>
          <w:color w:val="FF0000"/>
          <w:sz w:val="22"/>
          <w:szCs w:val="22"/>
        </w:rPr>
        <w:t xml:space="preserve">w pojazdach osobowych, ciężarowych w karoserii osobowych o sumie ubezpieczenia powyżej 240 000,00 PLN netto Wykonawca może uzależnić objęcie ochroną w zakresie ryzyka kradzieży od posiadania przez pojazd zabezpieczeń wymaganych OWU Wykonawcy.               </w:t>
      </w:r>
    </w:p>
    <w:p w14:paraId="448E340F" w14:textId="539FD677" w:rsidR="00A52470" w:rsidRPr="00AF615E" w:rsidRDefault="00A52470" w:rsidP="00A52470">
      <w:pPr>
        <w:pStyle w:val="Tekstpodstawowy3"/>
        <w:numPr>
          <w:ilvl w:val="0"/>
          <w:numId w:val="22"/>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W odniesieniu do pojazdów wymienionych w </w:t>
      </w:r>
      <w:r w:rsidRPr="00AF615E">
        <w:rPr>
          <w:rFonts w:ascii="Bookman Old Style" w:hAnsi="Bookman Old Style" w:cs="Tahoma"/>
          <w:b/>
          <w:sz w:val="22"/>
          <w:szCs w:val="22"/>
        </w:rPr>
        <w:t xml:space="preserve">Załączniku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sz w:val="22"/>
          <w:szCs w:val="22"/>
        </w:rPr>
        <w:t>,  objętych ochroną w zakresie ubezpieczenia AC Wykonawca akceptuje dotychczasowy poziom zabezpieczeń przeciwkradzieżowych.</w:t>
      </w:r>
    </w:p>
    <w:p w14:paraId="1E6FFABE" w14:textId="77777777" w:rsidR="00A52470" w:rsidRPr="00AF615E" w:rsidRDefault="00A52470" w:rsidP="00A52470">
      <w:pPr>
        <w:pStyle w:val="Tekstprzypisudolnego"/>
        <w:rPr>
          <w:rFonts w:ascii="Bookman Old Style" w:hAnsi="Bookman Old Style" w:cs="Tahoma"/>
        </w:rPr>
      </w:pPr>
    </w:p>
    <w:p w14:paraId="48F315F4"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Płatność składki</w:t>
      </w:r>
    </w:p>
    <w:p w14:paraId="309DFDB2" w14:textId="5821CC66" w:rsidR="00A52470" w:rsidRPr="00AF615E" w:rsidRDefault="00A52470" w:rsidP="00AF615E">
      <w:pPr>
        <w:pStyle w:val="Tekstpodstawowy3"/>
        <w:spacing w:line="360" w:lineRule="auto"/>
        <w:ind w:left="708" w:right="72"/>
        <w:jc w:val="both"/>
        <w:rPr>
          <w:rFonts w:ascii="Bookman Old Style" w:hAnsi="Bookman Old Style" w:cs="Tahoma"/>
          <w:sz w:val="22"/>
          <w:szCs w:val="22"/>
        </w:rPr>
      </w:pPr>
      <w:r w:rsidRPr="00AF615E">
        <w:rPr>
          <w:rFonts w:ascii="Bookman Old Style" w:hAnsi="Bookman Old Style" w:cs="Tahoma"/>
          <w:sz w:val="22"/>
          <w:szCs w:val="22"/>
        </w:rPr>
        <w:t>Składka płatna jednorazowo w terminie 14 dni od początku okresu ubezpieczenia. Dla pojazdów nowozakupionych  składka płatna w terminie 14</w:t>
      </w:r>
      <w:r w:rsidR="00AA72C5">
        <w:rPr>
          <w:rFonts w:ascii="Bookman Old Style" w:hAnsi="Bookman Old Style" w:cs="Tahoma"/>
          <w:sz w:val="22"/>
          <w:szCs w:val="22"/>
          <w:lang w:val="pl-PL"/>
        </w:rPr>
        <w:t> </w:t>
      </w:r>
      <w:r w:rsidRPr="00AF615E">
        <w:rPr>
          <w:rFonts w:ascii="Bookman Old Style" w:hAnsi="Bookman Old Style" w:cs="Tahoma"/>
          <w:sz w:val="22"/>
          <w:szCs w:val="22"/>
        </w:rPr>
        <w:t>dni od dnia przekazania polisy Zamawiającemu.</w:t>
      </w:r>
    </w:p>
    <w:p w14:paraId="381A5727" w14:textId="77777777" w:rsidR="00A52470" w:rsidRPr="00AF615E" w:rsidRDefault="00A52470" w:rsidP="00A52470">
      <w:pPr>
        <w:pStyle w:val="Tekstpodstawowy"/>
        <w:spacing w:line="360" w:lineRule="auto"/>
        <w:rPr>
          <w:rFonts w:ascii="Bookman Old Style" w:hAnsi="Bookman Old Style" w:cs="Tahoma"/>
        </w:rPr>
      </w:pPr>
    </w:p>
    <w:p w14:paraId="658E4390" w14:textId="77777777" w:rsidR="00A52470" w:rsidRPr="00AF615E" w:rsidRDefault="00A52470" w:rsidP="00AF615E">
      <w:pPr>
        <w:pStyle w:val="Tekstpodstawowy3"/>
        <w:numPr>
          <w:ilvl w:val="0"/>
          <w:numId w:val="10"/>
        </w:numPr>
        <w:spacing w:after="0" w:line="360" w:lineRule="auto"/>
        <w:ind w:left="851" w:right="72" w:hanging="709"/>
        <w:jc w:val="both"/>
        <w:rPr>
          <w:rFonts w:ascii="Bookman Old Style" w:hAnsi="Bookman Old Style" w:cs="Tahoma"/>
          <w:sz w:val="22"/>
          <w:szCs w:val="22"/>
        </w:rPr>
      </w:pPr>
      <w:r w:rsidRPr="00AF615E">
        <w:rPr>
          <w:rFonts w:ascii="Bookman Old Style" w:hAnsi="Bookman Old Style" w:cs="Tahoma"/>
          <w:sz w:val="22"/>
          <w:szCs w:val="22"/>
        </w:rPr>
        <w:t>Franszyza: zgodnie z OWU</w:t>
      </w:r>
      <w:r w:rsidR="00D86FDE" w:rsidRPr="00AF615E">
        <w:rPr>
          <w:rFonts w:ascii="Bookman Old Style" w:hAnsi="Bookman Old Style" w:cs="Tahoma"/>
          <w:sz w:val="22"/>
          <w:szCs w:val="22"/>
          <w:lang w:val="pl-PL"/>
        </w:rPr>
        <w:t xml:space="preserve"> Ubezpieczyciela</w:t>
      </w:r>
      <w:r w:rsidR="0083348F">
        <w:rPr>
          <w:rFonts w:ascii="Bookman Old Style" w:hAnsi="Bookman Old Style" w:cs="Tahoma"/>
          <w:sz w:val="22"/>
          <w:szCs w:val="22"/>
        </w:rPr>
        <w:t>, nie więcej jednak niż 3</w:t>
      </w:r>
      <w:r w:rsidRPr="00AF615E">
        <w:rPr>
          <w:rFonts w:ascii="Bookman Old Style" w:hAnsi="Bookman Old Style" w:cs="Tahoma"/>
          <w:sz w:val="22"/>
          <w:szCs w:val="22"/>
        </w:rPr>
        <w:t>00,00</w:t>
      </w:r>
      <w:r w:rsidR="00AF615E">
        <w:rPr>
          <w:rFonts w:ascii="Bookman Old Style" w:hAnsi="Bookman Old Style" w:cs="Tahoma"/>
          <w:sz w:val="22"/>
          <w:szCs w:val="22"/>
          <w:lang w:val="pl-PL"/>
        </w:rPr>
        <w:t> </w:t>
      </w:r>
      <w:r w:rsidRPr="00AF615E">
        <w:rPr>
          <w:rFonts w:ascii="Bookman Old Style" w:hAnsi="Bookman Old Style" w:cs="Tahoma"/>
          <w:sz w:val="22"/>
          <w:szCs w:val="22"/>
        </w:rPr>
        <w:t>PLN.</w:t>
      </w:r>
    </w:p>
    <w:p w14:paraId="1DC2E7B2"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bCs/>
          <w:sz w:val="22"/>
          <w:szCs w:val="22"/>
        </w:rPr>
        <w:lastRenderedPageBreak/>
        <w:t>Warunki szczególne dotyczące rozliczeń składki</w:t>
      </w:r>
    </w:p>
    <w:p w14:paraId="593F5F38" w14:textId="77777777" w:rsidR="00A52470" w:rsidRPr="00AF615E" w:rsidRDefault="00A52470" w:rsidP="00E15512">
      <w:pPr>
        <w:pStyle w:val="Tekstpodstawowy3"/>
        <w:spacing w:line="360" w:lineRule="auto"/>
        <w:ind w:left="708" w:right="72"/>
        <w:jc w:val="both"/>
        <w:rPr>
          <w:rFonts w:ascii="Bookman Old Style" w:hAnsi="Bookman Old Style" w:cs="Tahoma"/>
          <w:b/>
          <w:sz w:val="22"/>
          <w:szCs w:val="22"/>
        </w:rPr>
      </w:pPr>
      <w:r w:rsidRPr="00AF615E">
        <w:rPr>
          <w:rFonts w:ascii="Bookman Old Style" w:hAnsi="Bookman Old Style" w:cs="Tahoma"/>
          <w:bCs/>
          <w:sz w:val="22"/>
          <w:szCs w:val="22"/>
        </w:rPr>
        <w:t>Składki za pojazdy wycofywane z ubezpieczenia w czasie trwania umowy będą zwracane w proporcji do okresu ubezpieczenia, licząc 1/365 składki rocznej za każdy dzień ochrony ubezpieczeniowej, o ile w okresie ubezpieczenia danego pojazdu nie zaistniało zdarzenie, w związku z którym wypłacono odszkodowanie. Od tak wyliczonej składki za niewykorzystany okres ochrony ubezpieczeniowej nie będą potrącane koszty manipulacyjne.</w:t>
      </w:r>
    </w:p>
    <w:p w14:paraId="6F34D317" w14:textId="77777777" w:rsidR="0016516A" w:rsidRPr="00AF615E" w:rsidRDefault="0016516A" w:rsidP="00A52470">
      <w:pPr>
        <w:pStyle w:val="Tekstpodstawowy"/>
        <w:spacing w:line="360" w:lineRule="auto"/>
        <w:ind w:left="113"/>
        <w:rPr>
          <w:rFonts w:ascii="Bookman Old Style" w:hAnsi="Bookman Old Style" w:cs="Tahoma"/>
          <w:b/>
          <w:bCs/>
        </w:rPr>
      </w:pPr>
    </w:p>
    <w:p w14:paraId="5892FAD6" w14:textId="77777777" w:rsidR="00A52470" w:rsidRPr="00AF615E"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b/>
          <w:bCs/>
          <w:sz w:val="22"/>
          <w:szCs w:val="22"/>
        </w:rPr>
        <w:t>Ubezpieczenie następstw nieszczęśliwych wypadków kierowców i pasażerów powstałych w związku z użytkowaniem pojazdów mechanicznych</w:t>
      </w:r>
      <w:r w:rsidRPr="00AF615E">
        <w:rPr>
          <w:rFonts w:ascii="Bookman Old Style" w:hAnsi="Bookman Old Style" w:cs="Tahoma"/>
          <w:bCs/>
          <w:sz w:val="22"/>
          <w:szCs w:val="22"/>
        </w:rPr>
        <w:t>.</w:t>
      </w:r>
    </w:p>
    <w:p w14:paraId="19ADC9B9"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p>
    <w:p w14:paraId="3B2079DA" w14:textId="77777777" w:rsidR="00A52470" w:rsidRPr="00AF615E"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Suma ubezpieczenia </w:t>
      </w:r>
    </w:p>
    <w:p w14:paraId="67EF6A26"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r w:rsidRPr="00AF615E">
        <w:rPr>
          <w:rFonts w:ascii="Bookman Old Style" w:hAnsi="Bookman Old Style" w:cs="Tahoma"/>
          <w:sz w:val="22"/>
          <w:szCs w:val="22"/>
        </w:rPr>
        <w:t xml:space="preserve">10.000,00 PLN na osobę </w:t>
      </w:r>
    </w:p>
    <w:p w14:paraId="66C8185B" w14:textId="77777777" w:rsidR="00A52470" w:rsidRPr="00AF615E"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 xml:space="preserve">Przedmiot ubezpieczenia /zakres ubezpieczenia </w:t>
      </w:r>
    </w:p>
    <w:p w14:paraId="255B521F"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Górną granicę odpowiedzialności w razie śmierci ubezpieczonego wskutek nieszczęśliwego wypadku stanowi kwota odpowiadająca 100% sumy ubezpieczenia.</w:t>
      </w:r>
    </w:p>
    <w:p w14:paraId="3B6A3ACA"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 xml:space="preserve">W przypadku trwałego uszczerbku na zdrowiu świadczenie wypłacane będzie w wysokości 1% sumy ubezpieczenia za każdy procent trwałego uszczerbku na zdrowiu. </w:t>
      </w:r>
    </w:p>
    <w:p w14:paraId="755E34D1"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Procedura likwidacji szkód zgodnie z OWU obowiązującymi u wykonawcy.</w:t>
      </w:r>
    </w:p>
    <w:p w14:paraId="3A1D232C"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na okres dwunastu miesięcy.</w:t>
      </w:r>
    </w:p>
    <w:p w14:paraId="0ADB2288"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Dla pojazdów dodatkowo zgłaszanych do ubezpieczenia w okresie trwania umowy ochrona będzie obowiązywać od dnia rejestracji pod warunkiem zgłoszenia pojazdu do ubezpieczenia najpóźniej w dniu rejestracji.</w:t>
      </w:r>
    </w:p>
    <w:p w14:paraId="13C88331"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Przyjmowanie pojazdów do ubezpieczenia następować będzie na podstawie zgłoszenia przesyłanego pocztą elektroniczną przez brokera lub Zamawiającego. Składka naliczona zostanie zgodnie z umową i obejmować będzie faktyczny okres ochrony.</w:t>
      </w:r>
    </w:p>
    <w:p w14:paraId="0E5DA2BB" w14:textId="23AB3FCB" w:rsidR="00A52470" w:rsidRDefault="00A52470" w:rsidP="00A52470">
      <w:pPr>
        <w:pStyle w:val="Tekstpodstawowy3"/>
        <w:spacing w:line="360" w:lineRule="auto"/>
        <w:ind w:left="720" w:right="72"/>
        <w:rPr>
          <w:rFonts w:ascii="Bookman Old Style" w:hAnsi="Bookman Old Style" w:cs="Tahoma"/>
          <w:b/>
          <w:bCs/>
          <w:sz w:val="22"/>
          <w:szCs w:val="22"/>
        </w:rPr>
      </w:pPr>
    </w:p>
    <w:p w14:paraId="7BBB274F" w14:textId="77777777" w:rsidR="00AA72C5" w:rsidRPr="00AF615E" w:rsidRDefault="00AA72C5" w:rsidP="00A52470">
      <w:pPr>
        <w:pStyle w:val="Tekstpodstawowy3"/>
        <w:spacing w:line="360" w:lineRule="auto"/>
        <w:ind w:left="720" w:right="72"/>
        <w:rPr>
          <w:rFonts w:ascii="Bookman Old Style" w:hAnsi="Bookman Old Style" w:cs="Tahoma"/>
          <w:b/>
          <w:bCs/>
          <w:sz w:val="22"/>
          <w:szCs w:val="22"/>
        </w:rPr>
      </w:pPr>
    </w:p>
    <w:p w14:paraId="39388EB1" w14:textId="77777777" w:rsidR="0095371B" w:rsidRDefault="0095371B" w:rsidP="00A52470">
      <w:pPr>
        <w:pStyle w:val="Tekstprzypisudolnego"/>
        <w:numPr>
          <w:ilvl w:val="0"/>
          <w:numId w:val="24"/>
        </w:numPr>
        <w:tabs>
          <w:tab w:val="left" w:pos="708"/>
        </w:tabs>
        <w:spacing w:before="0"/>
        <w:rPr>
          <w:rFonts w:ascii="Bookman Old Style" w:hAnsi="Bookman Old Style" w:cs="Tahoma"/>
          <w:b/>
        </w:rPr>
      </w:pPr>
      <w:r>
        <w:rPr>
          <w:rFonts w:ascii="Bookman Old Style" w:hAnsi="Bookman Old Style" w:cs="Tahoma"/>
          <w:b/>
          <w:lang w:val="pl-PL"/>
        </w:rPr>
        <w:lastRenderedPageBreak/>
        <w:t xml:space="preserve">Okres ubezpieczenia </w:t>
      </w:r>
      <w:r w:rsidRPr="0095371B">
        <w:rPr>
          <w:rFonts w:ascii="Bookman Old Style" w:hAnsi="Bookman Old Style" w:cs="Tahoma"/>
          <w:lang w:val="pl-PL"/>
        </w:rPr>
        <w:t>– zgodnie z okresem ubezpieczenia obowiązkowego OC ppm.</w:t>
      </w:r>
    </w:p>
    <w:p w14:paraId="49C6DCF7" w14:textId="77777777" w:rsidR="00A52470" w:rsidRPr="00AF615E" w:rsidRDefault="00A52470" w:rsidP="00A52470">
      <w:pPr>
        <w:pStyle w:val="Tekstprzypisudolnego"/>
        <w:numPr>
          <w:ilvl w:val="0"/>
          <w:numId w:val="24"/>
        </w:numPr>
        <w:tabs>
          <w:tab w:val="left" w:pos="708"/>
        </w:tabs>
        <w:spacing w:before="0"/>
        <w:rPr>
          <w:rFonts w:ascii="Bookman Old Style" w:hAnsi="Bookman Old Style" w:cs="Tahoma"/>
          <w:b/>
        </w:rPr>
      </w:pPr>
      <w:r w:rsidRPr="00AF615E">
        <w:rPr>
          <w:rFonts w:ascii="Bookman Old Style" w:hAnsi="Bookman Old Style" w:cs="Tahoma"/>
          <w:b/>
        </w:rPr>
        <w:t>Płatność składki</w:t>
      </w:r>
    </w:p>
    <w:p w14:paraId="6D17C033" w14:textId="77777777" w:rsidR="00A52470" w:rsidRPr="00AF615E" w:rsidRDefault="00A52470" w:rsidP="0016516A">
      <w:pPr>
        <w:pStyle w:val="Tekstprzypisudolnego"/>
        <w:ind w:left="473" w:hanging="47"/>
        <w:rPr>
          <w:rFonts w:ascii="Bookman Old Style" w:hAnsi="Bookman Old Style" w:cs="Tahoma"/>
          <w:b/>
        </w:rPr>
      </w:pPr>
      <w:r w:rsidRPr="00AF615E">
        <w:rPr>
          <w:rFonts w:ascii="Bookman Old Style" w:hAnsi="Bookman Old Style" w:cs="Tahoma"/>
        </w:rPr>
        <w:t>Składka płatna jednorazowo w terminie 14 dni od początku okresu ubezpieczenia. Dla pojazdów nowozakupionych składka płatna w terminie 14 dni od dnia dostarczenia oryginału polisy Zamawiającemu.</w:t>
      </w:r>
    </w:p>
    <w:p w14:paraId="433567E0"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b/>
        </w:rPr>
        <w:t>Franszyza:</w:t>
      </w:r>
      <w:r w:rsidRPr="00AF615E">
        <w:rPr>
          <w:rFonts w:ascii="Bookman Old Style" w:hAnsi="Bookman Old Style" w:cs="Tahoma"/>
        </w:rPr>
        <w:t xml:space="preserve"> brak</w:t>
      </w:r>
    </w:p>
    <w:p w14:paraId="72DEE63F"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rPr>
        <w:t xml:space="preserve">Wykaz pojazdów do ubezpieczenia zgodnie z </w:t>
      </w:r>
      <w:r w:rsidRPr="00AF615E">
        <w:rPr>
          <w:rFonts w:ascii="Bookman Old Style" w:hAnsi="Bookman Old Style" w:cs="Tahoma"/>
          <w:b/>
        </w:rPr>
        <w:t>Załącznikiem nr 1 do OPZ.</w:t>
      </w:r>
    </w:p>
    <w:p w14:paraId="6C33F1F9" w14:textId="77777777" w:rsidR="00A52470" w:rsidRPr="00AF615E" w:rsidRDefault="00A52470" w:rsidP="00A52470">
      <w:pPr>
        <w:pStyle w:val="Akapitzlist"/>
        <w:spacing w:line="360" w:lineRule="auto"/>
        <w:ind w:left="473"/>
        <w:jc w:val="both"/>
        <w:rPr>
          <w:rFonts w:ascii="Bookman Old Style" w:hAnsi="Bookman Old Style" w:cs="Tahoma"/>
        </w:rPr>
      </w:pPr>
    </w:p>
    <w:p w14:paraId="1FD6DDA9" w14:textId="6556834A" w:rsidR="00A52470" w:rsidRPr="00F312D9" w:rsidRDefault="00A52470" w:rsidP="00F312D9">
      <w:pPr>
        <w:pStyle w:val="Tekstpodstawowy3"/>
        <w:numPr>
          <w:ilvl w:val="0"/>
          <w:numId w:val="4"/>
        </w:numPr>
        <w:spacing w:after="0" w:line="360" w:lineRule="auto"/>
        <w:ind w:right="72"/>
        <w:jc w:val="both"/>
        <w:rPr>
          <w:rFonts w:ascii="Bookman Old Style" w:hAnsi="Bookman Old Style" w:cs="Tahoma"/>
          <w:b/>
          <w:bCs/>
          <w:color w:val="FF0000"/>
          <w:sz w:val="22"/>
          <w:szCs w:val="22"/>
        </w:rPr>
      </w:pPr>
      <w:r w:rsidRPr="00AF615E">
        <w:rPr>
          <w:rFonts w:ascii="Bookman Old Style" w:hAnsi="Bookman Old Style" w:cs="Tahoma"/>
          <w:b/>
          <w:bCs/>
          <w:sz w:val="22"/>
          <w:szCs w:val="22"/>
        </w:rPr>
        <w:t xml:space="preserve">Ubezpieczenie assistance </w:t>
      </w:r>
      <w:r w:rsidR="00F312D9" w:rsidRPr="0083348F">
        <w:rPr>
          <w:rFonts w:ascii="Bookman Old Style" w:hAnsi="Bookman Old Style" w:cs="Tahoma"/>
          <w:b/>
          <w:bCs/>
          <w:sz w:val="22"/>
          <w:szCs w:val="22"/>
        </w:rPr>
        <w:t xml:space="preserve">dla pojazdów osobowych oraz ciężarowych do </w:t>
      </w:r>
      <w:r w:rsidR="00193493">
        <w:rPr>
          <w:rFonts w:ascii="Bookman Old Style" w:hAnsi="Bookman Old Style" w:cs="Tahoma"/>
          <w:b/>
          <w:bCs/>
          <w:sz w:val="22"/>
          <w:szCs w:val="22"/>
          <w:lang w:val="pl-PL"/>
        </w:rPr>
        <w:t>2</w:t>
      </w:r>
      <w:r w:rsidR="00F312D9" w:rsidRPr="0083348F">
        <w:rPr>
          <w:rFonts w:ascii="Bookman Old Style" w:hAnsi="Bookman Old Style" w:cs="Tahoma"/>
          <w:b/>
          <w:bCs/>
          <w:sz w:val="22"/>
          <w:szCs w:val="22"/>
        </w:rPr>
        <w:t>t</w:t>
      </w:r>
      <w:r w:rsidR="00891E77">
        <w:rPr>
          <w:rFonts w:ascii="Bookman Old Style" w:hAnsi="Bookman Old Style" w:cs="Tahoma"/>
          <w:b/>
          <w:bCs/>
          <w:sz w:val="22"/>
          <w:szCs w:val="22"/>
          <w:lang w:val="pl-PL"/>
        </w:rPr>
        <w:t xml:space="preserve"> ładowności</w:t>
      </w:r>
    </w:p>
    <w:p w14:paraId="11026E25" w14:textId="77777777" w:rsidR="006762AD" w:rsidRPr="00AF615E" w:rsidRDefault="006762AD" w:rsidP="006762AD">
      <w:pPr>
        <w:pStyle w:val="Tekstpodstawowy3"/>
        <w:spacing w:after="0" w:line="360" w:lineRule="auto"/>
        <w:ind w:right="72"/>
        <w:jc w:val="both"/>
        <w:rPr>
          <w:rFonts w:ascii="Bookman Old Style" w:hAnsi="Bookman Old Style" w:cs="Tahoma"/>
          <w:b/>
          <w:bCs/>
          <w:sz w:val="22"/>
          <w:szCs w:val="22"/>
        </w:rPr>
      </w:pPr>
    </w:p>
    <w:p w14:paraId="25483B70"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Zakres ubezpieczenia 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objętych! ochroną ubezpieczeniową Autocasco, </w:t>
      </w:r>
      <w:r w:rsidRPr="00AF615E">
        <w:rPr>
          <w:rFonts w:ascii="Bookman Old Style" w:hAnsi="Bookman Old Style" w:cs="Tahoma"/>
          <w:sz w:val="22"/>
          <w:szCs w:val="22"/>
        </w:rPr>
        <w:t xml:space="preserve">obejmuje co najmniej: </w:t>
      </w:r>
    </w:p>
    <w:p w14:paraId="5F1D01CA"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pomoc techniczną udzielaną kierowcy i pasażerom ubezpieczonego pojazdu </w:t>
      </w:r>
      <w:r w:rsidR="00E15512">
        <w:rPr>
          <w:rFonts w:ascii="Bookman Old Style" w:hAnsi="Bookman Old Style" w:cs="Tahoma"/>
          <w:sz w:val="22"/>
          <w:szCs w:val="22"/>
          <w:lang w:val="pl-PL"/>
        </w:rPr>
        <w:t xml:space="preserve">     </w:t>
      </w:r>
      <w:r w:rsidRPr="00AF615E">
        <w:rPr>
          <w:rFonts w:ascii="Bookman Old Style" w:hAnsi="Bookman Old Style" w:cs="Tahoma"/>
          <w:sz w:val="22"/>
          <w:szCs w:val="22"/>
        </w:rPr>
        <w:t>w związku z wypadkiem drogowym, utratą (kradzieżą pojazdu), unieruchomieniem pojazdu wskutek awarii, zdarzeniami związanymi z ruchem pojazdu mechanicznego;</w:t>
      </w:r>
    </w:p>
    <w:p w14:paraId="76DA94DF"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3A8E1DD5"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w przypadku unieruchomienia pojazdu w skutek braku paliwa, zatankowania niewłaściwego paliwa, rozładowania akumulatora</w:t>
      </w:r>
      <w:r w:rsidR="00D86FDE" w:rsidRPr="00AF615E">
        <w:rPr>
          <w:rFonts w:ascii="Bookman Old Style" w:hAnsi="Bookman Old Style" w:cs="Tahoma"/>
          <w:bCs/>
          <w:sz w:val="22"/>
          <w:szCs w:val="22"/>
          <w:lang w:val="pl-PL"/>
        </w:rPr>
        <w:t>, uszkodzenia ogumienia</w:t>
      </w:r>
      <w:r w:rsidRPr="00AF615E">
        <w:rPr>
          <w:rFonts w:ascii="Bookman Old Style" w:hAnsi="Bookman Old Style" w:cs="Tahoma"/>
          <w:bCs/>
          <w:sz w:val="22"/>
          <w:szCs w:val="22"/>
        </w:rPr>
        <w:t>;</w:t>
      </w:r>
    </w:p>
    <w:p w14:paraId="791B40BA" w14:textId="0BFB2096"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w przypadku samochodów osobowych oraz ciężarowych o ładowności do 850</w:t>
      </w:r>
      <w:r w:rsidR="00AA72C5">
        <w:rPr>
          <w:rFonts w:ascii="Bookman Old Style" w:hAnsi="Bookman Old Style" w:cs="Tahoma"/>
          <w:bCs/>
          <w:sz w:val="22"/>
          <w:szCs w:val="22"/>
          <w:lang w:val="pl-PL"/>
        </w:rPr>
        <w:t> </w:t>
      </w:r>
      <w:r w:rsidRPr="00AF615E">
        <w:rPr>
          <w:rFonts w:ascii="Bookman Old Style" w:hAnsi="Bookman Old Style" w:cs="Tahoma"/>
          <w:bCs/>
          <w:sz w:val="22"/>
          <w:szCs w:val="22"/>
        </w:rPr>
        <w:t>kg  - pojazd zastępczy klasy ekwiwalentnej (co najmniej 7 dni w razie wypadku – licząc od pierwszego dnia wynajmu);</w:t>
      </w:r>
    </w:p>
    <w:p w14:paraId="258F234C"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informacyjną;</w:t>
      </w:r>
    </w:p>
    <w:p w14:paraId="7F49DAAB"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eastAsia="Tahoma" w:hAnsi="Bookman Old Style" w:cs="Tahoma"/>
          <w:sz w:val="22"/>
          <w:szCs w:val="22"/>
          <w:lang w:eastAsia="en-US"/>
        </w:rPr>
        <w:t>nie obowiązują limity zdarzeń objętych świadczeniami assistance ani ograniczenia wiekowe pojazdów;</w:t>
      </w:r>
    </w:p>
    <w:p w14:paraId="4F56DDF0"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sz w:val="22"/>
          <w:szCs w:val="22"/>
        </w:rPr>
        <w:t xml:space="preserve">świadczenia realizowane są bez względu na odległość miejsca zdarzenia od siedziby Zamawiającego. </w:t>
      </w:r>
    </w:p>
    <w:p w14:paraId="528D17ED" w14:textId="77777777" w:rsidR="00A52470" w:rsidRPr="00AF615E" w:rsidRDefault="00A52470" w:rsidP="00A52470">
      <w:pPr>
        <w:pStyle w:val="Tekstpodstawowy3"/>
        <w:overflowPunct w:val="0"/>
        <w:autoSpaceDE w:val="0"/>
        <w:autoSpaceDN w:val="0"/>
        <w:adjustRightInd w:val="0"/>
        <w:spacing w:line="360" w:lineRule="auto"/>
        <w:textAlignment w:val="baseline"/>
        <w:rPr>
          <w:rFonts w:ascii="Bookman Old Style" w:hAnsi="Bookman Old Style" w:cs="Tahoma"/>
          <w:b/>
          <w:sz w:val="22"/>
          <w:szCs w:val="22"/>
        </w:rPr>
      </w:pPr>
    </w:p>
    <w:p w14:paraId="09DBD3D7"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lastRenderedPageBreak/>
        <w:t>Zakres ubezpieczenia 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wyłączonych! </w:t>
      </w:r>
      <w:r w:rsidR="00E15512">
        <w:rPr>
          <w:rFonts w:ascii="Bookman Old Style" w:hAnsi="Bookman Old Style" w:cs="Tahoma"/>
          <w:bCs/>
          <w:sz w:val="22"/>
          <w:szCs w:val="22"/>
          <w:u w:val="single"/>
          <w:lang w:val="pl-PL"/>
        </w:rPr>
        <w:t xml:space="preserve">    </w:t>
      </w:r>
      <w:r w:rsidRPr="00AF615E">
        <w:rPr>
          <w:rFonts w:ascii="Bookman Old Style" w:hAnsi="Bookman Old Style" w:cs="Tahoma"/>
          <w:bCs/>
          <w:sz w:val="22"/>
          <w:szCs w:val="22"/>
          <w:u w:val="single"/>
        </w:rPr>
        <w:t xml:space="preserve">z ochrony ubezpieczeniowej Autocasco przysługuje bezskładkowo </w:t>
      </w:r>
      <w:r w:rsidRPr="00AF615E">
        <w:rPr>
          <w:rFonts w:ascii="Bookman Old Style" w:hAnsi="Bookman Old Style" w:cs="Tahoma"/>
          <w:bCs/>
          <w:sz w:val="22"/>
          <w:szCs w:val="22"/>
        </w:rPr>
        <w:t xml:space="preserve">i </w:t>
      </w:r>
      <w:r w:rsidRPr="00AF615E">
        <w:rPr>
          <w:rFonts w:ascii="Bookman Old Style" w:hAnsi="Bookman Old Style" w:cs="Tahoma"/>
          <w:sz w:val="22"/>
          <w:szCs w:val="22"/>
        </w:rPr>
        <w:t xml:space="preserve">obejmuje co najmniej: </w:t>
      </w:r>
    </w:p>
    <w:p w14:paraId="515A926E" w14:textId="77777777" w:rsidR="00A52470" w:rsidRPr="00AF615E" w:rsidRDefault="00A52470" w:rsidP="00A52470">
      <w:pPr>
        <w:pStyle w:val="Tekstpodstawowy3"/>
        <w:numPr>
          <w:ilvl w:val="0"/>
          <w:numId w:val="28"/>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1AB07010" w14:textId="77777777" w:rsidR="00A52470" w:rsidRPr="00AF615E" w:rsidRDefault="00A52470" w:rsidP="00A52470">
      <w:pPr>
        <w:pStyle w:val="Tekstpodstawowy3"/>
        <w:overflowPunct w:val="0"/>
        <w:autoSpaceDE w:val="0"/>
        <w:autoSpaceDN w:val="0"/>
        <w:adjustRightInd w:val="0"/>
        <w:spacing w:line="360" w:lineRule="auto"/>
        <w:ind w:left="720"/>
        <w:textAlignment w:val="baseline"/>
        <w:rPr>
          <w:rFonts w:ascii="Bookman Old Style" w:hAnsi="Bookman Old Style" w:cs="Tahoma"/>
          <w:b/>
          <w:bCs/>
          <w:sz w:val="22"/>
          <w:szCs w:val="22"/>
        </w:rPr>
      </w:pPr>
    </w:p>
    <w:p w14:paraId="7DC7D114" w14:textId="77777777" w:rsidR="0095371B" w:rsidRDefault="0095371B" w:rsidP="00A52470">
      <w:pPr>
        <w:pStyle w:val="Tekstpodstawowy3"/>
        <w:numPr>
          <w:ilvl w:val="0"/>
          <w:numId w:val="26"/>
        </w:numPr>
        <w:spacing w:after="0" w:line="360" w:lineRule="auto"/>
        <w:ind w:right="72"/>
        <w:jc w:val="both"/>
        <w:rPr>
          <w:rFonts w:ascii="Bookman Old Style" w:hAnsi="Bookman Old Style" w:cs="Tahoma"/>
          <w:sz w:val="22"/>
          <w:szCs w:val="22"/>
        </w:rPr>
      </w:pPr>
      <w:r w:rsidRPr="00B11535">
        <w:rPr>
          <w:rFonts w:ascii="Bookman Old Style" w:hAnsi="Bookman Old Style" w:cs="Tahoma"/>
          <w:b/>
          <w:sz w:val="22"/>
          <w:szCs w:val="22"/>
          <w:lang w:val="pl-PL"/>
        </w:rPr>
        <w:t>Okres ubezpieczenia</w:t>
      </w:r>
      <w:r>
        <w:rPr>
          <w:rFonts w:ascii="Bookman Old Style" w:hAnsi="Bookman Old Style" w:cs="Tahoma"/>
          <w:sz w:val="22"/>
          <w:szCs w:val="22"/>
          <w:lang w:val="pl-PL"/>
        </w:rPr>
        <w:t xml:space="preserve"> – zgodnie z okresem ubezpieczenia obowiązkowego OC ppm.</w:t>
      </w:r>
    </w:p>
    <w:p w14:paraId="75ACE01A"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Płatność</w:t>
      </w:r>
    </w:p>
    <w:p w14:paraId="041E3EC2" w14:textId="77777777" w:rsidR="00A52470" w:rsidRPr="00B11535" w:rsidRDefault="00A52470" w:rsidP="00B11535">
      <w:pPr>
        <w:pStyle w:val="Tekstpodstawowy3"/>
        <w:spacing w:line="360" w:lineRule="auto"/>
        <w:ind w:left="473" w:right="72"/>
        <w:rPr>
          <w:rFonts w:ascii="Bookman Old Style" w:hAnsi="Bookman Old Style" w:cs="Tahoma"/>
          <w:b/>
          <w:sz w:val="22"/>
          <w:szCs w:val="22"/>
        </w:rPr>
      </w:pPr>
      <w:r w:rsidRPr="00AF615E">
        <w:rPr>
          <w:rFonts w:ascii="Bookman Old Style" w:hAnsi="Bookman Old Style" w:cs="Tahoma"/>
          <w:sz w:val="22"/>
          <w:szCs w:val="22"/>
        </w:rPr>
        <w:t>Składka za ubezpieczenie Assistance płatna zgodnie z terminem płatności składki za ubezpieczenie Autocasco.</w:t>
      </w:r>
    </w:p>
    <w:p w14:paraId="175A4EF4"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Przedmiot ubezpieczenia</w:t>
      </w:r>
    </w:p>
    <w:p w14:paraId="7E939C23" w14:textId="77777777" w:rsidR="00A52470" w:rsidRPr="000C5013" w:rsidRDefault="00A52470" w:rsidP="000C5013">
      <w:pPr>
        <w:pStyle w:val="Tekstpodstawowy3"/>
        <w:numPr>
          <w:ilvl w:val="0"/>
          <w:numId w:val="29"/>
        </w:numPr>
        <w:spacing w:after="0" w:line="360" w:lineRule="auto"/>
        <w:jc w:val="both"/>
        <w:rPr>
          <w:rFonts w:ascii="Bookman Old Style" w:hAnsi="Bookman Old Style" w:cs="Tahoma"/>
          <w:sz w:val="22"/>
          <w:szCs w:val="22"/>
        </w:rPr>
      </w:pPr>
      <w:r w:rsidRPr="000C5013">
        <w:rPr>
          <w:rFonts w:ascii="Bookman Old Style" w:hAnsi="Bookman Old Style" w:cs="Tahoma"/>
          <w:sz w:val="22"/>
          <w:szCs w:val="22"/>
        </w:rPr>
        <w:t xml:space="preserve">Wykaz pojazdów do ubezpieczenia zgodnie z </w:t>
      </w:r>
      <w:r w:rsidRPr="000C5013">
        <w:rPr>
          <w:rFonts w:ascii="Bookman Old Style" w:hAnsi="Bookman Old Style" w:cs="Tahoma"/>
          <w:b/>
          <w:sz w:val="22"/>
          <w:szCs w:val="22"/>
        </w:rPr>
        <w:t xml:space="preserve">Załącznikiem nr </w:t>
      </w:r>
      <w:r w:rsidRPr="000C5013">
        <w:rPr>
          <w:rFonts w:ascii="Bookman Old Style" w:hAnsi="Bookman Old Style" w:cs="Tahoma"/>
          <w:b/>
          <w:sz w:val="22"/>
          <w:szCs w:val="22"/>
          <w:lang w:val="pl-PL"/>
        </w:rPr>
        <w:t>1</w:t>
      </w:r>
      <w:r w:rsidRPr="000C5013">
        <w:rPr>
          <w:rFonts w:ascii="Bookman Old Style" w:hAnsi="Bookman Old Style" w:cs="Tahoma"/>
          <w:b/>
          <w:sz w:val="22"/>
          <w:szCs w:val="22"/>
        </w:rPr>
        <w:t xml:space="preserve"> do OPZ.</w:t>
      </w:r>
    </w:p>
    <w:p w14:paraId="7FD9DF13" w14:textId="77777777" w:rsidR="00A52470" w:rsidRPr="00AF615E"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Dla pojazdów dodatkowo zgłaszanych do ubezpieczenia w okresie trwania umowy ochrona będzie obowiązywać od dnia rejestracji pod warunkiem zgłoszenia pojazdu do ubezpieczenia najpóźniej w dniu rejestracji.</w:t>
      </w:r>
    </w:p>
    <w:p w14:paraId="644FDF8D" w14:textId="77777777" w:rsidR="00A52470" w:rsidRPr="00B11535"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Przyjmowanie pojazdów do ubezpieczenia następować będzie na podstawie zgłoszenia przesyłanego pocztą elektroniczną przez brokera lub Zamawiającego. Składka naliczona zostanie zgodnie z umową i obejmować będzie faktyczny okres ochrony</w:t>
      </w:r>
      <w:r w:rsidR="00B11535">
        <w:rPr>
          <w:rFonts w:ascii="Bookman Old Style" w:hAnsi="Bookman Old Style" w:cs="Tahoma"/>
          <w:sz w:val="22"/>
          <w:szCs w:val="22"/>
          <w:lang w:val="pl-PL"/>
        </w:rPr>
        <w:t>.</w:t>
      </w:r>
    </w:p>
    <w:p w14:paraId="6740039B" w14:textId="77777777" w:rsidR="00B11535" w:rsidRPr="00AF615E" w:rsidRDefault="00B11535" w:rsidP="00B11535">
      <w:pPr>
        <w:pStyle w:val="Tekstpodstawowy3"/>
        <w:numPr>
          <w:ilvl w:val="0"/>
          <w:numId w:val="26"/>
        </w:numPr>
        <w:spacing w:after="0" w:line="360" w:lineRule="auto"/>
        <w:ind w:right="72"/>
        <w:jc w:val="both"/>
        <w:rPr>
          <w:rFonts w:ascii="Bookman Old Style" w:hAnsi="Bookman Old Style" w:cs="Tahoma"/>
          <w:sz w:val="22"/>
          <w:szCs w:val="22"/>
        </w:rPr>
      </w:pPr>
      <w:r>
        <w:rPr>
          <w:rFonts w:ascii="Bookman Old Style" w:hAnsi="Bookman Old Style" w:cs="Tahoma"/>
          <w:sz w:val="22"/>
          <w:szCs w:val="22"/>
          <w:lang w:val="pl-PL"/>
        </w:rPr>
        <w:t>Postanowienia szczególne – w umowie ubezpieczenia Assistance mają zastosowanie postanowienia wskazane w rozdziałach III.4 i III.5 (przez analogię).</w:t>
      </w:r>
    </w:p>
    <w:p w14:paraId="1DD733EB" w14:textId="77777777" w:rsidR="00B11535" w:rsidRPr="00AF615E" w:rsidRDefault="00B11535" w:rsidP="00B11535">
      <w:pPr>
        <w:pStyle w:val="Tekstpodstawowy3"/>
        <w:spacing w:after="0" w:line="360" w:lineRule="auto"/>
        <w:ind w:left="720"/>
        <w:jc w:val="both"/>
        <w:rPr>
          <w:rFonts w:ascii="Bookman Old Style" w:hAnsi="Bookman Old Style" w:cs="Tahoma"/>
          <w:sz w:val="22"/>
          <w:szCs w:val="22"/>
        </w:rPr>
      </w:pPr>
    </w:p>
    <w:p w14:paraId="63EF7358" w14:textId="77777777" w:rsidR="00A52470" w:rsidRPr="00453BA1"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B11535">
        <w:rPr>
          <w:rFonts w:ascii="Bookman Old Style" w:hAnsi="Bookman Old Style" w:cs="Tahoma"/>
          <w:b/>
          <w:bCs/>
          <w:sz w:val="22"/>
          <w:szCs w:val="22"/>
        </w:rPr>
        <w:t>Klauzule fakultatywne</w:t>
      </w:r>
      <w:r w:rsidRPr="00AF615E">
        <w:rPr>
          <w:rFonts w:ascii="Bookman Old Style" w:hAnsi="Bookman Old Style" w:cs="Tahoma"/>
          <w:bCs/>
          <w:sz w:val="22"/>
          <w:szCs w:val="22"/>
        </w:rPr>
        <w:t xml:space="preserve"> (dodatkowo punktowane).</w:t>
      </w:r>
    </w:p>
    <w:p w14:paraId="7428E0EA" w14:textId="77777777" w:rsidR="00453BA1" w:rsidRPr="00AF615E" w:rsidRDefault="00453BA1" w:rsidP="00453BA1">
      <w:pPr>
        <w:pStyle w:val="Tekstpodstawowy3"/>
        <w:spacing w:after="0" w:line="360" w:lineRule="auto"/>
        <w:ind w:right="72"/>
        <w:jc w:val="both"/>
        <w:rPr>
          <w:rFonts w:ascii="Bookman Old Style" w:hAnsi="Bookman Old Style" w:cs="Tahoma"/>
          <w:b/>
          <w:bCs/>
          <w:sz w:val="22"/>
          <w:szCs w:val="22"/>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97"/>
        <w:gridCol w:w="7351"/>
        <w:gridCol w:w="1194"/>
      </w:tblGrid>
      <w:tr w:rsidR="00A52470" w:rsidRPr="00AF615E" w14:paraId="4A655AEB" w14:textId="77777777" w:rsidTr="00AF615E">
        <w:trPr>
          <w:trHeight w:val="296"/>
        </w:trPr>
        <w:tc>
          <w:tcPr>
            <w:tcW w:w="275" w:type="pct"/>
            <w:tcBorders>
              <w:top w:val="double" w:sz="4" w:space="0" w:color="auto"/>
              <w:left w:val="double" w:sz="4" w:space="0" w:color="auto"/>
              <w:bottom w:val="double" w:sz="4" w:space="0" w:color="auto"/>
              <w:right w:val="single" w:sz="6" w:space="0" w:color="auto"/>
            </w:tcBorders>
            <w:shd w:val="clear" w:color="auto" w:fill="D9D9D9"/>
            <w:vAlign w:val="center"/>
            <w:hideMark/>
          </w:tcPr>
          <w:p w14:paraId="5F496B10" w14:textId="77777777" w:rsidR="00A52470" w:rsidRPr="00AF615E" w:rsidRDefault="00A52470">
            <w:pPr>
              <w:spacing w:line="360" w:lineRule="auto"/>
              <w:rPr>
                <w:rFonts w:ascii="Bookman Old Style" w:hAnsi="Bookman Old Style" w:cs="Tahoma"/>
                <w:b/>
                <w:color w:val="000000"/>
              </w:rPr>
            </w:pPr>
            <w:r w:rsidRPr="00AF615E">
              <w:rPr>
                <w:rFonts w:ascii="Bookman Old Style" w:hAnsi="Bookman Old Style" w:cs="Tahoma"/>
                <w:b/>
                <w:color w:val="000000"/>
              </w:rPr>
              <w:t xml:space="preserve">Lp. </w:t>
            </w:r>
          </w:p>
        </w:tc>
        <w:tc>
          <w:tcPr>
            <w:tcW w:w="4065" w:type="pct"/>
            <w:tcBorders>
              <w:top w:val="double" w:sz="4" w:space="0" w:color="auto"/>
              <w:left w:val="single" w:sz="6" w:space="0" w:color="auto"/>
              <w:bottom w:val="double" w:sz="4" w:space="0" w:color="auto"/>
              <w:right w:val="single" w:sz="6" w:space="0" w:color="auto"/>
            </w:tcBorders>
            <w:shd w:val="clear" w:color="auto" w:fill="D9D9D9"/>
            <w:vAlign w:val="center"/>
            <w:hideMark/>
          </w:tcPr>
          <w:p w14:paraId="1E9D40F9"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Klauzula fakultatywna</w:t>
            </w:r>
          </w:p>
        </w:tc>
        <w:tc>
          <w:tcPr>
            <w:tcW w:w="660" w:type="pct"/>
            <w:tcBorders>
              <w:top w:val="double" w:sz="4" w:space="0" w:color="auto"/>
              <w:left w:val="single" w:sz="6" w:space="0" w:color="auto"/>
              <w:bottom w:val="double" w:sz="4" w:space="0" w:color="auto"/>
              <w:right w:val="double" w:sz="4" w:space="0" w:color="auto"/>
            </w:tcBorders>
            <w:shd w:val="clear" w:color="auto" w:fill="D9D9D9"/>
            <w:hideMark/>
          </w:tcPr>
          <w:p w14:paraId="11D2431D"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Liczba pkt</w:t>
            </w:r>
          </w:p>
        </w:tc>
      </w:tr>
      <w:tr w:rsidR="00A52470" w:rsidRPr="00AF615E" w14:paraId="05F57D4D"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2D5DC9B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1.</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0210D50B" w14:textId="77777777" w:rsidR="00A52470" w:rsidRPr="00AF615E" w:rsidRDefault="00A52470">
            <w:pPr>
              <w:spacing w:line="360" w:lineRule="auto"/>
              <w:jc w:val="both"/>
              <w:rPr>
                <w:rFonts w:ascii="Bookman Old Style" w:hAnsi="Bookman Old Style" w:cs="Tahoma"/>
              </w:rPr>
            </w:pPr>
            <w:r w:rsidRPr="00AF615E">
              <w:rPr>
                <w:rFonts w:ascii="Bookman Old Style" w:hAnsi="Bookman Old Style" w:cs="Tahoma"/>
              </w:rPr>
              <w:t>Wprowadzenie limitu holowania pojazdu w ramach Autocasco do 10% sumy ubezpieczenia pojazdu.</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5AC9ACC2"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t>2</w:t>
            </w:r>
          </w:p>
        </w:tc>
      </w:tr>
      <w:tr w:rsidR="00A52470" w:rsidRPr="00AF615E" w14:paraId="39B6CD65"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35D4AFE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2.</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3B6C8B28" w14:textId="77777777" w:rsidR="00A52470" w:rsidRPr="00AF615E" w:rsidRDefault="00A52470"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obowiązkowym OC względem stawki podstawowej podanej w Formularzu Cenowym dla pojazdów </w:t>
            </w:r>
            <w:r w:rsidRPr="00AF615E">
              <w:rPr>
                <w:rFonts w:ascii="Bookman Old Style" w:hAnsi="Bookman Old Style" w:cs="Tahoma"/>
              </w:rPr>
              <w:lastRenderedPageBreak/>
              <w:t>nowozakupionych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4E234264"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lastRenderedPageBreak/>
              <w:t>6</w:t>
            </w:r>
          </w:p>
        </w:tc>
      </w:tr>
      <w:tr w:rsidR="00453BA1" w:rsidRPr="00AF615E" w14:paraId="79F66E26"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tcPr>
          <w:p w14:paraId="34F27814" w14:textId="77777777" w:rsidR="00453BA1" w:rsidRPr="00AF615E" w:rsidRDefault="00453BA1" w:rsidP="00453BA1">
            <w:pPr>
              <w:spacing w:line="360" w:lineRule="auto"/>
              <w:rPr>
                <w:rFonts w:ascii="Bookman Old Style" w:hAnsi="Bookman Old Style" w:cs="Tahoma"/>
                <w:color w:val="000000"/>
              </w:rPr>
            </w:pPr>
            <w:r>
              <w:rPr>
                <w:rFonts w:ascii="Bookman Old Style" w:hAnsi="Bookman Old Style" w:cs="Tahoma"/>
                <w:color w:val="000000"/>
              </w:rPr>
              <w:t>3.</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tcPr>
          <w:p w14:paraId="54F56FAE"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Zniżka 15% w ubezpieczeniu dobrowolnym Autocasco względem stawki podstawowej podanej w Formularzu Cenowym dla pojazdów nowozakupionych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tcPr>
          <w:p w14:paraId="66CA4CF0"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76770AC8"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7DEC9545" w14:textId="77777777" w:rsidR="00453BA1" w:rsidRPr="00AF615E" w:rsidRDefault="00453BA1" w:rsidP="00453BA1">
            <w:pPr>
              <w:spacing w:line="360" w:lineRule="auto"/>
              <w:rPr>
                <w:rFonts w:ascii="Bookman Old Style" w:hAnsi="Bookman Old Style" w:cs="Tahoma"/>
                <w:color w:val="000000"/>
              </w:rPr>
            </w:pPr>
            <w:r>
              <w:rPr>
                <w:rFonts w:ascii="Bookman Old Style" w:hAnsi="Bookman Old Style" w:cs="Tahoma"/>
                <w:color w:val="000000"/>
              </w:rPr>
              <w:t>4</w:t>
            </w:r>
            <w:r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782786CD"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W ubezpieczeniu Assistance nie będą mieć zastosowania limity kilometrowe na holowanie pojazdu, pod warunkiem udzielenia świadczenia przez Wykonawcę (lub za jego pośrednictwem/zgodą), z zastrzeżeniem pozostałych warunków ubezpieczenia.</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1F6B67BA"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3</w:t>
            </w:r>
          </w:p>
        </w:tc>
      </w:tr>
      <w:tr w:rsidR="00453BA1" w:rsidRPr="00AF615E" w14:paraId="05FF8F3A"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4FE58E0C" w14:textId="77777777" w:rsidR="00453BA1" w:rsidRPr="00AF615E" w:rsidRDefault="00453BA1" w:rsidP="00453BA1">
            <w:pPr>
              <w:spacing w:line="360" w:lineRule="auto"/>
              <w:rPr>
                <w:rFonts w:ascii="Bookman Old Style" w:hAnsi="Bookman Old Style" w:cs="Tahoma"/>
                <w:color w:val="000000"/>
              </w:rPr>
            </w:pPr>
            <w:r>
              <w:rPr>
                <w:rFonts w:ascii="Bookman Old Style" w:hAnsi="Bookman Old Style" w:cs="Tahoma"/>
                <w:color w:val="000000"/>
              </w:rPr>
              <w:t>5</w:t>
            </w:r>
            <w:r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348731B6"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Włączenie Klauzuli rażącego niedbalstwa (nr 7)</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418AD44E"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3</w:t>
            </w:r>
          </w:p>
        </w:tc>
      </w:tr>
    </w:tbl>
    <w:p w14:paraId="38266436" w14:textId="77777777" w:rsidR="00A52470" w:rsidRDefault="00A52470" w:rsidP="00A52470">
      <w:pPr>
        <w:pStyle w:val="Tekstpodstawowy3"/>
        <w:spacing w:line="360" w:lineRule="auto"/>
        <w:rPr>
          <w:rFonts w:ascii="Bookman Old Style" w:eastAsiaTheme="minorHAnsi" w:hAnsi="Bookman Old Style" w:cs="Tahoma"/>
          <w:b/>
          <w:bCs/>
          <w:sz w:val="22"/>
          <w:szCs w:val="22"/>
          <w:lang w:val="pl-PL" w:eastAsia="en-US"/>
        </w:rPr>
      </w:pPr>
    </w:p>
    <w:p w14:paraId="33DF31AD" w14:textId="77777777" w:rsidR="008B0D08" w:rsidRDefault="008B0D08" w:rsidP="00A52470">
      <w:pPr>
        <w:pStyle w:val="Tekstpodstawowy3"/>
        <w:spacing w:line="360" w:lineRule="auto"/>
        <w:rPr>
          <w:rFonts w:ascii="Bookman Old Style" w:eastAsiaTheme="minorHAnsi" w:hAnsi="Bookman Old Style" w:cs="Tahoma"/>
          <w:b/>
          <w:bCs/>
          <w:sz w:val="22"/>
          <w:szCs w:val="22"/>
          <w:lang w:val="pl-PL" w:eastAsia="en-US"/>
        </w:rPr>
      </w:pPr>
    </w:p>
    <w:p w14:paraId="14818D52" w14:textId="77777777" w:rsidR="008B0D08" w:rsidRPr="00AF615E" w:rsidRDefault="008B0D08" w:rsidP="00A52470">
      <w:pPr>
        <w:pStyle w:val="Tekstpodstawowy3"/>
        <w:spacing w:line="360" w:lineRule="auto"/>
        <w:rPr>
          <w:rFonts w:ascii="Bookman Old Style" w:hAnsi="Bookman Old Style" w:cs="Tahoma"/>
          <w:b/>
          <w:sz w:val="22"/>
          <w:szCs w:val="22"/>
        </w:rPr>
      </w:pPr>
    </w:p>
    <w:p w14:paraId="4917439A" w14:textId="77777777" w:rsidR="00A52470" w:rsidRPr="00AF615E" w:rsidRDefault="00A52470" w:rsidP="00A52470">
      <w:pPr>
        <w:pStyle w:val="Tekstpodstawowywcity"/>
        <w:numPr>
          <w:ilvl w:val="0"/>
          <w:numId w:val="4"/>
        </w:numPr>
        <w:spacing w:after="0" w:line="360" w:lineRule="auto"/>
        <w:jc w:val="both"/>
        <w:rPr>
          <w:rFonts w:ascii="Bookman Old Style" w:hAnsi="Bookman Old Style" w:cs="Arial"/>
          <w:b/>
          <w:bCs/>
        </w:rPr>
      </w:pPr>
      <w:r w:rsidRPr="00AF615E">
        <w:rPr>
          <w:rFonts w:ascii="Bookman Old Style" w:hAnsi="Bookman Old Style" w:cs="Tahoma"/>
          <w:b/>
          <w:bCs/>
        </w:rPr>
        <w:t>Klauzule</w:t>
      </w:r>
    </w:p>
    <w:p w14:paraId="1C89495C" w14:textId="77777777" w:rsidR="00046D77" w:rsidRPr="00AF615E" w:rsidRDefault="00046D77" w:rsidP="0078710A">
      <w:pPr>
        <w:pStyle w:val="Tekstpodstawowywcity"/>
        <w:spacing w:after="0" w:line="360" w:lineRule="auto"/>
        <w:ind w:left="0"/>
        <w:jc w:val="both"/>
        <w:rPr>
          <w:rFonts w:ascii="Bookman Old Style" w:hAnsi="Bookman Old Style" w:cs="Arial"/>
          <w:bCs/>
        </w:rPr>
      </w:pPr>
      <w:r w:rsidRPr="00AF615E">
        <w:rPr>
          <w:rFonts w:ascii="Bookman Old Style" w:hAnsi="Bookman Old Style" w:cs="Tahoma"/>
          <w:bCs/>
        </w:rPr>
        <w:t>W przypadku braku wskazania konkretnych ryzyk, do których zastosowanie ma mieć klauzula, przyjmuje się,  że dotyczy wszystkich ryzyk (OC/AC/NNW/Assistance).</w:t>
      </w:r>
    </w:p>
    <w:p w14:paraId="59CFFCCD" w14:textId="77777777" w:rsidR="00A52470" w:rsidRPr="00AF615E" w:rsidRDefault="00A52470" w:rsidP="00AF615E">
      <w:pPr>
        <w:numPr>
          <w:ilvl w:val="0"/>
          <w:numId w:val="30"/>
        </w:numPr>
        <w:spacing w:after="0" w:line="360" w:lineRule="auto"/>
        <w:ind w:left="284" w:hanging="357"/>
        <w:jc w:val="both"/>
        <w:rPr>
          <w:rFonts w:ascii="Bookman Old Style" w:hAnsi="Bookman Old Style" w:cs="Tahoma"/>
          <w:b/>
          <w:bCs/>
        </w:rPr>
      </w:pPr>
      <w:r w:rsidRPr="00AF615E">
        <w:rPr>
          <w:rFonts w:ascii="Bookman Old Style" w:hAnsi="Bookman Old Style" w:cs="Tahoma"/>
          <w:b/>
          <w:bCs/>
        </w:rPr>
        <w:t>Klauzula płatności składki lub rat składki – klauzula obligatoryjna</w:t>
      </w:r>
    </w:p>
    <w:p w14:paraId="1B222F06" w14:textId="77777777" w:rsidR="00A52470" w:rsidRPr="00AF615E" w:rsidRDefault="00A52470" w:rsidP="00A52470">
      <w:pPr>
        <w:pStyle w:val="Tekstpodstawowy"/>
        <w:spacing w:line="360" w:lineRule="auto"/>
        <w:rPr>
          <w:rFonts w:ascii="Bookman Old Style" w:hAnsi="Bookman Old Style" w:cs="Tahoma"/>
          <w:b/>
        </w:rPr>
      </w:pPr>
      <w:r w:rsidRPr="00AF615E">
        <w:rPr>
          <w:rFonts w:ascii="Bookman Old Style" w:hAnsi="Bookman Old Style" w:cs="Tahoma"/>
        </w:rPr>
        <w:t>Z zastrzeżeniem pozostałych, nie zmienionych niniejszą klauzulą postanowień umowy ubezpieczenia, uzgadnia się, że:</w:t>
      </w:r>
    </w:p>
    <w:p w14:paraId="0972B7E6" w14:textId="77777777" w:rsidR="00A52470" w:rsidRPr="00AF615E" w:rsidRDefault="00A52470" w:rsidP="00AF615E">
      <w:pPr>
        <w:numPr>
          <w:ilvl w:val="0"/>
          <w:numId w:val="31"/>
        </w:numPr>
        <w:tabs>
          <w:tab w:val="clear" w:pos="720"/>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Odpowiedzialność Ubezpieczyciela rozpoczyna się od godz. 00:00 dnia wskazanego w Umowie, jako początek okresu ubezpieczenia,</w:t>
      </w:r>
    </w:p>
    <w:p w14:paraId="1105A74F" w14:textId="77777777" w:rsidR="00A52470" w:rsidRPr="00AF615E" w:rsidRDefault="00A52470" w:rsidP="00A52470">
      <w:pPr>
        <w:numPr>
          <w:ilvl w:val="0"/>
          <w:numId w:val="31"/>
        </w:numPr>
        <w:tabs>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Ubezpieczonego przez Zakład Ubezpieczeń do zapłaty i nie otrzymania składki w terminie 7 (siedmiu) dni o ile do dnia poprzedniego włącznie nie nastąpiło obciążenie rachunku bankowego Ubezpieczonego.  </w:t>
      </w:r>
    </w:p>
    <w:p w14:paraId="20F03062" w14:textId="77777777" w:rsidR="00A52470" w:rsidRPr="00AF615E" w:rsidRDefault="00A52470" w:rsidP="00A52470">
      <w:pPr>
        <w:pStyle w:val="Tekstpodstawowy"/>
        <w:spacing w:line="360" w:lineRule="auto"/>
        <w:rPr>
          <w:rFonts w:ascii="Bookman Old Style" w:hAnsi="Bookman Old Style" w:cs="Tahoma"/>
        </w:rPr>
      </w:pPr>
    </w:p>
    <w:p w14:paraId="397CD94C" w14:textId="77777777" w:rsidR="00A52470" w:rsidRPr="00AF615E" w:rsidRDefault="00A52470" w:rsidP="00AF615E">
      <w:pPr>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rozstrzygania sporów – klauzula obligatoryjna</w:t>
      </w:r>
    </w:p>
    <w:p w14:paraId="05A90D35" w14:textId="77777777" w:rsidR="00A52470" w:rsidRPr="00AF615E" w:rsidRDefault="00A52470" w:rsidP="00A52470">
      <w:pPr>
        <w:pStyle w:val="BodyTextIndent21"/>
        <w:spacing w:line="360" w:lineRule="auto"/>
        <w:ind w:left="0"/>
        <w:rPr>
          <w:rFonts w:ascii="Bookman Old Style" w:hAnsi="Bookman Old Style" w:cs="Tahoma"/>
        </w:rPr>
      </w:pPr>
      <w:r w:rsidRPr="00AF615E">
        <w:rPr>
          <w:rFonts w:ascii="Bookman Old Style" w:hAnsi="Bookman Old Style" w:cs="Tahoma"/>
        </w:rPr>
        <w:t xml:space="preserve">Spory wynikłe z istnienia i stosowania niniejszej umowy strony mogą poddać pod rozstrzygnięcie sądu właściwego dla siedziby Ubezpieczonego. </w:t>
      </w:r>
    </w:p>
    <w:p w14:paraId="416C6081" w14:textId="77777777" w:rsidR="00A52470" w:rsidRPr="00AF615E" w:rsidRDefault="00A52470" w:rsidP="00A52470">
      <w:pPr>
        <w:pStyle w:val="BodyTextIndent21"/>
        <w:tabs>
          <w:tab w:val="left" w:pos="1451"/>
        </w:tabs>
        <w:spacing w:line="360" w:lineRule="auto"/>
        <w:ind w:left="0"/>
        <w:rPr>
          <w:rFonts w:ascii="Bookman Old Style" w:hAnsi="Bookman Old Style" w:cs="Tahoma"/>
          <w:spacing w:val="20"/>
        </w:rPr>
      </w:pPr>
    </w:p>
    <w:p w14:paraId="75BEFBD1" w14:textId="77777777" w:rsidR="00A52470" w:rsidRPr="00AF615E" w:rsidRDefault="00A52470" w:rsidP="00AF615E">
      <w:pPr>
        <w:pStyle w:val="LucaCash"/>
        <w:numPr>
          <w:ilvl w:val="0"/>
          <w:numId w:val="30"/>
        </w:numPr>
        <w:ind w:left="284" w:hanging="357"/>
        <w:rPr>
          <w:rFonts w:ascii="Bookman Old Style" w:hAnsi="Bookman Old Style" w:cs="Tahoma"/>
          <w:b/>
          <w:bCs/>
          <w:sz w:val="22"/>
          <w:szCs w:val="22"/>
        </w:rPr>
      </w:pPr>
      <w:r w:rsidRPr="00AF615E">
        <w:rPr>
          <w:rFonts w:ascii="Bookman Old Style" w:hAnsi="Bookman Old Style" w:cs="Tahoma"/>
          <w:b/>
          <w:bCs/>
          <w:sz w:val="22"/>
          <w:szCs w:val="22"/>
        </w:rPr>
        <w:t>Klauzula odpowiedzialności – klauzula obligatoryjna</w:t>
      </w:r>
    </w:p>
    <w:p w14:paraId="3ACF81A7" w14:textId="77777777" w:rsidR="00A52470" w:rsidRPr="00AF615E" w:rsidRDefault="00A52470" w:rsidP="00A52470">
      <w:pPr>
        <w:pStyle w:val="Tekstpodstawowy"/>
        <w:spacing w:line="360" w:lineRule="auto"/>
        <w:rPr>
          <w:rFonts w:ascii="Bookman Old Style" w:hAnsi="Bookman Old Style" w:cs="Tahoma"/>
          <w:b/>
        </w:rPr>
      </w:pPr>
      <w:r w:rsidRPr="00AF615E">
        <w:rPr>
          <w:rFonts w:ascii="Bookman Old Style" w:hAnsi="Bookman Old Style" w:cs="Tahoma"/>
        </w:rPr>
        <w:t>Z zachowaniem pozostałych, nie zmienionych niniejszą klauzulą, postanowień umowy ubezpieczenia strony uzgodniły, że początek okresu odpowiedzialności ubezpieczyciela jest tożsamy z początkiem okresu ubezpieczenia.</w:t>
      </w:r>
    </w:p>
    <w:p w14:paraId="45ADBFE8" w14:textId="77777777" w:rsidR="00A52470" w:rsidRPr="00AF615E" w:rsidRDefault="00A52470" w:rsidP="00A52470">
      <w:pPr>
        <w:pStyle w:val="Tekstpodstawowywcity"/>
        <w:spacing w:line="360" w:lineRule="auto"/>
        <w:ind w:left="0"/>
        <w:rPr>
          <w:rFonts w:ascii="Bookman Old Style" w:hAnsi="Bookman Old Style" w:cs="Tahoma"/>
          <w:bCs/>
        </w:rPr>
      </w:pPr>
    </w:p>
    <w:p w14:paraId="35A7F1C3" w14:textId="77777777" w:rsidR="00A52470" w:rsidRPr="00AF615E" w:rsidRDefault="00A52470" w:rsidP="00AF615E">
      <w:pPr>
        <w:pStyle w:val="Tekstpodstawowywcity"/>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odnowienia limitów – klauzula obligatoryjna</w:t>
      </w:r>
    </w:p>
    <w:p w14:paraId="06F28E73"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 zmienionych niniejszą klauzulą, postanowień umowy ubezpieczenia określonych we wniosku i ogólnych warunkach ubezpieczenia strony uzgodniły, że wszystkie sumy ubezpieczenia, limity, podlimity lub sumy gwarancyjne ustalone są dla okresów rocznych. Po okresie rocznym ubezpieczenia automatycznie ulegają odnowieniu do pełnych wysokości, a dla środków trwałych zgodnie z aktualnym stanem wynikającym z ewidencji.</w:t>
      </w:r>
    </w:p>
    <w:p w14:paraId="224F85A1" w14:textId="77777777" w:rsidR="00A52470" w:rsidRPr="00AF615E" w:rsidRDefault="00A52470" w:rsidP="00AF615E">
      <w:pPr>
        <w:pStyle w:val="Akapitzlist"/>
        <w:numPr>
          <w:ilvl w:val="0"/>
          <w:numId w:val="30"/>
        </w:numPr>
        <w:spacing w:after="0" w:line="360" w:lineRule="auto"/>
        <w:ind w:left="284" w:hanging="357"/>
        <w:jc w:val="both"/>
        <w:rPr>
          <w:rFonts w:ascii="Bookman Old Style" w:hAnsi="Bookman Old Style" w:cs="Tahoma"/>
        </w:rPr>
      </w:pPr>
      <w:r w:rsidRPr="00AF615E">
        <w:rPr>
          <w:rFonts w:ascii="Bookman Old Style" w:hAnsi="Bookman Old Style" w:cs="Tahoma"/>
          <w:b/>
        </w:rPr>
        <w:t>Klauzula obowiązku informacyjnego- klauzula obligatoryjna</w:t>
      </w:r>
    </w:p>
    <w:p w14:paraId="5FC63FA3"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niezmienionych niniejszą klauzulą, postanowień umowy ubezpieczenia  ustala się, że Ubezpieczyciel może odmówić wypłaty odszkodowania lub ograniczyć jego wysokość, jeżeli Ubezpieczony  (lub jego przedstawiciel) z winy umyślnej podał niezgodne z prawdą okoliczności, o które Ubezpieczyciel pytał na piśmie przed zawarciem umowy ubezpieczenia wyłącznie jeżeli okoliczności te miały wpływ na powstanie lub zwiększenie wartości szkody.</w:t>
      </w:r>
    </w:p>
    <w:p w14:paraId="53843B5D" w14:textId="77777777" w:rsidR="00A52470" w:rsidRPr="00AF615E" w:rsidRDefault="00A52470" w:rsidP="00AF615E">
      <w:pPr>
        <w:pStyle w:val="Akapitzlist"/>
        <w:numPr>
          <w:ilvl w:val="0"/>
          <w:numId w:val="30"/>
        </w:numPr>
        <w:tabs>
          <w:tab w:val="left" w:pos="142"/>
          <w:tab w:val="left" w:pos="284"/>
        </w:tabs>
        <w:spacing w:line="360" w:lineRule="auto"/>
        <w:ind w:left="284" w:hanging="357"/>
        <w:jc w:val="both"/>
        <w:rPr>
          <w:rFonts w:ascii="Bookman Old Style" w:hAnsi="Bookman Old Style" w:cs="Tahoma"/>
          <w:b/>
        </w:rPr>
      </w:pPr>
      <w:r w:rsidRPr="00AF615E">
        <w:rPr>
          <w:rFonts w:ascii="Bookman Old Style" w:hAnsi="Bookman Old Style" w:cs="Tahoma"/>
          <w:b/>
        </w:rPr>
        <w:t>Klauzula zbiegu roszczeń - klauzula obligatoryjna</w:t>
      </w:r>
    </w:p>
    <w:p w14:paraId="12E62EE3" w14:textId="77777777"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umowy ubezpieczenia, ustala się, że Ubezpieczyciel nie ma prawa odmówić likwidacji szkody i wypłaty odszkodowania z ubezpieczeń majątkowych Ubezpieczonego w przypadku gdy roszczenie o zadośćuczynienie powstałej szkodzie może być skierowane do osób trzecich (sprawcy zdarzenia) oraz gdy za zniszczone mienie przysługuje Ubezpieczonemu odszkodowanie z umów ubezpieczenia np. odpowiedzialności cywilnej zawartych przez osoby trzecie z zastrzeżeniem zachowania regresu przez Ubezpieczyciela do sprawcy szkody. </w:t>
      </w:r>
    </w:p>
    <w:p w14:paraId="23A1749C" w14:textId="77777777"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(AC/KR, NNW, ASS).</w:t>
      </w:r>
    </w:p>
    <w:p w14:paraId="04035CB7" w14:textId="3C1DC2F4" w:rsidR="00A52470" w:rsidRDefault="00A52470" w:rsidP="00A52470">
      <w:pPr>
        <w:spacing w:line="360" w:lineRule="auto"/>
        <w:jc w:val="both"/>
        <w:rPr>
          <w:rFonts w:ascii="Bookman Old Style" w:hAnsi="Bookman Old Style" w:cs="Tahoma"/>
        </w:rPr>
      </w:pPr>
    </w:p>
    <w:p w14:paraId="5CCCE7C6" w14:textId="3BE48EAA" w:rsidR="00AA72C5" w:rsidRDefault="00AA72C5" w:rsidP="00A52470">
      <w:pPr>
        <w:spacing w:line="360" w:lineRule="auto"/>
        <w:jc w:val="both"/>
        <w:rPr>
          <w:rFonts w:ascii="Bookman Old Style" w:hAnsi="Bookman Old Style" w:cs="Tahoma"/>
        </w:rPr>
      </w:pPr>
    </w:p>
    <w:p w14:paraId="4A41F3A3" w14:textId="77777777" w:rsidR="00AA72C5" w:rsidRPr="00AF615E" w:rsidRDefault="00AA72C5" w:rsidP="00A52470">
      <w:pPr>
        <w:spacing w:line="360" w:lineRule="auto"/>
        <w:jc w:val="both"/>
        <w:rPr>
          <w:rFonts w:ascii="Bookman Old Style" w:hAnsi="Bookman Old Style" w:cs="Tahoma"/>
        </w:rPr>
      </w:pPr>
    </w:p>
    <w:p w14:paraId="10089C5E" w14:textId="77777777" w:rsidR="00A52470" w:rsidRPr="00AF615E" w:rsidRDefault="00A52470" w:rsidP="00AF615E">
      <w:pPr>
        <w:pStyle w:val="Akapitzlist"/>
        <w:numPr>
          <w:ilvl w:val="0"/>
          <w:numId w:val="30"/>
        </w:numPr>
        <w:ind w:left="284" w:hanging="357"/>
        <w:rPr>
          <w:rFonts w:ascii="Bookman Old Style" w:hAnsi="Bookman Old Style"/>
          <w:b/>
        </w:rPr>
      </w:pPr>
      <w:r w:rsidRPr="00AF615E">
        <w:rPr>
          <w:rFonts w:ascii="Bookman Old Style" w:hAnsi="Bookman Old Style"/>
          <w:b/>
        </w:rPr>
        <w:lastRenderedPageBreak/>
        <w:t xml:space="preserve">Klauzula rażącego niedbalstwa -  klauzula fakultatywna </w:t>
      </w:r>
    </w:p>
    <w:p w14:paraId="35638B5B"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niezmienionych niniejszą klauzulą, postanowień umowy ubezpieczenia ustala się, że ochrona ubezpieczeniowa obejmuje szkody spowodowane umyślnie lub wskutek rażącego niedbalstwa przez Ubezpieczonego w tym:</w:t>
      </w:r>
    </w:p>
    <w:p w14:paraId="46E5E74B"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 xml:space="preserve">W stanie nietrzeźwości lub w stanie po użyciu alkoholu albo pod wpływem środków odurzających, substancji psychotropowych lub innych środków zastępczych </w:t>
      </w:r>
      <w:r w:rsidRPr="00AF615E">
        <w:rPr>
          <w:rFonts w:ascii="Bookman Old Style" w:hAnsi="Bookman Old Style" w:cs="Tahoma"/>
        </w:rPr>
        <w:br/>
        <w:t>w rozumieniu przepisów o przeciwdziałaniu narkomanii;</w:t>
      </w:r>
    </w:p>
    <w:p w14:paraId="7CE6FBCA" w14:textId="77777777" w:rsidR="00A52470" w:rsidRPr="00AF615E" w:rsidRDefault="00A52470" w:rsidP="00AF615E">
      <w:pPr>
        <w:numPr>
          <w:ilvl w:val="0"/>
          <w:numId w:val="32"/>
        </w:numPr>
        <w:spacing w:after="0" w:line="360" w:lineRule="auto"/>
        <w:ind w:left="426" w:hanging="357"/>
        <w:jc w:val="both"/>
        <w:rPr>
          <w:rFonts w:ascii="Bookman Old Style" w:hAnsi="Bookman Old Style" w:cs="Tahoma"/>
        </w:rPr>
      </w:pPr>
      <w:r w:rsidRPr="00AF615E">
        <w:rPr>
          <w:rFonts w:ascii="Bookman Old Style" w:hAnsi="Bookman Old Style" w:cs="Tahoma"/>
        </w:rPr>
        <w:t>Kierujący nie posiadał wymaganych prawem państwa zajścia wypadku ubezpieczeniowego uprawnień do kierowania pojazdem;</w:t>
      </w:r>
    </w:p>
    <w:p w14:paraId="44566287"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W pojeździe będącym narzędziem przestępstwa</w:t>
      </w:r>
    </w:p>
    <w:p w14:paraId="410EAF7B"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Dopuszczalny udział własny 40% wartości odszkodowania i nie więcej niż 2 zdarzenia w rocznym okresie ubezpieczenia.</w:t>
      </w:r>
    </w:p>
    <w:p w14:paraId="6B6EE4B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 ubezpieczenia komunikacyjne (AC).</w:t>
      </w:r>
    </w:p>
    <w:p w14:paraId="184A0572" w14:textId="77777777" w:rsidR="00A52470" w:rsidRPr="00AF615E" w:rsidRDefault="00A52470" w:rsidP="00A52470">
      <w:pPr>
        <w:pStyle w:val="Nagwek1"/>
        <w:tabs>
          <w:tab w:val="left" w:pos="284"/>
        </w:tabs>
        <w:spacing w:line="360" w:lineRule="auto"/>
        <w:ind w:left="360"/>
        <w:jc w:val="both"/>
        <w:rPr>
          <w:rFonts w:ascii="Bookman Old Style" w:hAnsi="Bookman Old Style" w:cs="Tahoma"/>
          <w:b/>
          <w:sz w:val="22"/>
          <w:szCs w:val="22"/>
        </w:rPr>
      </w:pPr>
    </w:p>
    <w:p w14:paraId="6ABFB7B5" w14:textId="77777777" w:rsidR="00A52470" w:rsidRPr="00AF615E" w:rsidRDefault="00A52470" w:rsidP="00AF615E">
      <w:pPr>
        <w:pStyle w:val="Akapitzlist"/>
        <w:numPr>
          <w:ilvl w:val="0"/>
          <w:numId w:val="30"/>
        </w:numPr>
        <w:spacing w:line="360" w:lineRule="auto"/>
        <w:ind w:left="284" w:hanging="357"/>
        <w:rPr>
          <w:rFonts w:ascii="Bookman Old Style" w:hAnsi="Bookman Old Style"/>
        </w:rPr>
      </w:pPr>
      <w:r w:rsidRPr="00AF615E">
        <w:rPr>
          <w:rFonts w:ascii="Bookman Old Style" w:hAnsi="Bookman Old Style"/>
          <w:b/>
          <w:bCs/>
          <w:iCs/>
        </w:rPr>
        <w:t xml:space="preserve">Klauzula stempla bankowego- klauzula obligatoryjna </w:t>
      </w:r>
    </w:p>
    <w:p w14:paraId="57F79E07"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nie zmienionych niniejszą klauzulą, postanowień umowy ubezpieczenia przyjętych we wniosku i ogólnych/indywidualnych warunkach ubezpieczenia strony uzgodniły, że: </w:t>
      </w:r>
    </w:p>
    <w:p w14:paraId="5176555F"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Za datę prawidłowego opłacenia składki ubezpieczeniowej uznaje się datę stempla bankowego uwidocznioną na przelewie bankowym, pod warunkiem jednak, że </w:t>
      </w:r>
      <w:r w:rsidR="00E15512">
        <w:rPr>
          <w:rFonts w:ascii="Bookman Old Style" w:hAnsi="Bookman Old Style"/>
        </w:rPr>
        <w:t xml:space="preserve">               </w:t>
      </w:r>
      <w:r w:rsidRPr="00AF615E">
        <w:rPr>
          <w:rFonts w:ascii="Bookman Old Style" w:hAnsi="Bookman Old Style"/>
        </w:rPr>
        <w:t xml:space="preserve">w momencie jego składania na rachunku Ubezpieczonego dostępna była niezbędna ilość środków płatniczych. </w:t>
      </w:r>
    </w:p>
    <w:p w14:paraId="43B60DC1" w14:textId="77777777" w:rsidR="00A52470" w:rsidRPr="00AF615E" w:rsidRDefault="00A52470" w:rsidP="00A52470">
      <w:pPr>
        <w:pStyle w:val="Akapitzlist"/>
        <w:spacing w:after="0" w:line="360" w:lineRule="auto"/>
        <w:ind w:left="360"/>
        <w:jc w:val="both"/>
        <w:rPr>
          <w:rFonts w:ascii="Bookman Old Style" w:hAnsi="Bookman Old Style"/>
        </w:rPr>
      </w:pPr>
    </w:p>
    <w:p w14:paraId="3A3A82B3"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lang w:val="it-IT"/>
        </w:rPr>
      </w:pPr>
      <w:r w:rsidRPr="00AF615E">
        <w:rPr>
          <w:rFonts w:ascii="Bookman Old Style" w:hAnsi="Bookman Old Style"/>
          <w:b/>
          <w:bCs/>
          <w:iCs/>
          <w:lang w:val="it-IT"/>
        </w:rPr>
        <w:t xml:space="preserve">Klauzula pro rata temporis - klauzula obligatoryjna </w:t>
      </w:r>
    </w:p>
    <w:p w14:paraId="71B4E1D8"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nie zmienionych niniejszą klauzulą, postanowień umowy ubezpieczenia przyjętych we wniosku i ogólnych/indywidualnych warunkach ubezpieczenia strony uzgodniły, że: </w:t>
      </w:r>
    </w:p>
    <w:p w14:paraId="43490CFC" w14:textId="4C0D585A"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Wszelkie rozliczenia finansowe wynikające z niniejszej umowy ubezpieczenia, </w:t>
      </w:r>
      <w:r w:rsidR="00E15512">
        <w:rPr>
          <w:rFonts w:ascii="Bookman Old Style" w:hAnsi="Bookman Old Style"/>
        </w:rPr>
        <w:t xml:space="preserve">               </w:t>
      </w:r>
      <w:r w:rsidRPr="00AF615E">
        <w:rPr>
          <w:rFonts w:ascii="Bookman Old Style" w:hAnsi="Bookman Old Style"/>
        </w:rPr>
        <w:t>w szczególności związane z dopłatą oraz zwrotem składek, dokonywane będą w</w:t>
      </w:r>
      <w:r w:rsidR="00AA72C5">
        <w:rPr>
          <w:rFonts w:ascii="Bookman Old Style" w:hAnsi="Bookman Old Style"/>
        </w:rPr>
        <w:t> </w:t>
      </w:r>
      <w:r w:rsidRPr="00AF615E">
        <w:rPr>
          <w:rFonts w:ascii="Bookman Old Style" w:hAnsi="Bookman Old Style"/>
        </w:rPr>
        <w:t>systemie pro rata za każdy dzień udzielanej ochrony ubezpieczeniowej, o ile nie podlegają rozliczeniu na mocy klauzuli automatycznego pokrycia.</w:t>
      </w:r>
    </w:p>
    <w:p w14:paraId="64840094" w14:textId="77777777" w:rsidR="00A52470" w:rsidRPr="00AF615E" w:rsidRDefault="00A52470" w:rsidP="00A52470">
      <w:pPr>
        <w:pStyle w:val="Akapitzlist"/>
        <w:spacing w:after="0" w:line="360" w:lineRule="auto"/>
        <w:ind w:left="0"/>
        <w:jc w:val="both"/>
        <w:rPr>
          <w:rFonts w:ascii="Bookman Old Style" w:hAnsi="Bookman Old Style"/>
        </w:rPr>
      </w:pPr>
    </w:p>
    <w:p w14:paraId="37171039"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b/>
        </w:rPr>
      </w:pPr>
      <w:r w:rsidRPr="00AF615E">
        <w:rPr>
          <w:rFonts w:ascii="Bookman Old Style" w:hAnsi="Bookman Old Style"/>
          <w:b/>
        </w:rPr>
        <w:lastRenderedPageBreak/>
        <w:t xml:space="preserve">Klauzula samodzielnej likwidacji szkody drobnej, nie przekraczającej </w:t>
      </w:r>
      <w:r w:rsidR="000C5013">
        <w:rPr>
          <w:rFonts w:ascii="Bookman Old Style" w:hAnsi="Bookman Old Style"/>
          <w:b/>
        </w:rPr>
        <w:br/>
      </w:r>
      <w:r w:rsidRPr="00AF615E">
        <w:rPr>
          <w:rFonts w:ascii="Bookman Old Style" w:hAnsi="Bookman Old Style"/>
          <w:b/>
        </w:rPr>
        <w:t>2.000 PLN - klauzula obligatoryjna</w:t>
      </w:r>
    </w:p>
    <w:p w14:paraId="0AD6281D"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rPr>
        <w:t>Z zachowaniem pozostałych, niezmienionych niniejszą klauzulą, postanowień umowy ubezpieczenia ustala się, że w</w:t>
      </w:r>
      <w:r w:rsidRPr="00AF615E">
        <w:rPr>
          <w:rFonts w:ascii="Bookman Old Style" w:hAnsi="Bookman Old Style" w:cs="Tahoma"/>
          <w:bCs/>
        </w:rPr>
        <w:t xml:space="preserve"> przypadku szkody drobnej tj. do 2.000, PLN, objętej zakresem Autocasco tj. m.in. uszkodzenie lub stłuczenie szyby, uszkodzenie lub kradzież lusterka wewnętrznego, uszkodzenie zamka, reflektorów, lamp, stacyjki </w:t>
      </w:r>
      <w:r w:rsidR="00E15512">
        <w:rPr>
          <w:rFonts w:ascii="Bookman Old Style" w:hAnsi="Bookman Old Style" w:cs="Tahoma"/>
          <w:bCs/>
        </w:rPr>
        <w:t xml:space="preserve">       </w:t>
      </w:r>
      <w:r w:rsidRPr="00AF615E">
        <w:rPr>
          <w:rFonts w:ascii="Bookman Old Style" w:hAnsi="Bookman Old Style" w:cs="Tahoma"/>
          <w:bCs/>
        </w:rPr>
        <w:t>(w przypadku włamania) lub koła pojazdu, bez jednoczesnego uszkodzenia innych części pojazdu, zarysowania, Ubezpieczyciel wyraża zgodę na naprawę uszkodzenia bez wcześniejszego przeprowadzenia oględzin pojazdu, ale po uprzednim zgłoszeniu szkody.</w:t>
      </w:r>
    </w:p>
    <w:p w14:paraId="54CD8600"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Poszkodowany pokrywa koszt naprawy szkody a następnie wysyła do Ubezpieczyciela szczegółową fakturę z zakładu naprawczego wraz z dokumentacją fotograficzną sprzed naprawy (uszkodzonych elementów) i po naprawie.</w:t>
      </w:r>
    </w:p>
    <w:p w14:paraId="6B9A80F1"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Ubezpieczyciel na podstawie otrzymanej faktury refunduje udokumentowane koszty.</w:t>
      </w:r>
    </w:p>
    <w:p w14:paraId="2151A0A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ubezpieczenia komunikacyjne (AC).</w:t>
      </w:r>
    </w:p>
    <w:p w14:paraId="538DE1E4" w14:textId="77777777" w:rsidR="00A52470" w:rsidRPr="00AF615E" w:rsidRDefault="00A52470" w:rsidP="000C5013">
      <w:pPr>
        <w:pStyle w:val="Akapitzlist"/>
        <w:numPr>
          <w:ilvl w:val="0"/>
          <w:numId w:val="30"/>
        </w:numPr>
        <w:ind w:left="284" w:hanging="357"/>
        <w:rPr>
          <w:rFonts w:ascii="Bookman Old Style" w:hAnsi="Bookman Old Style"/>
          <w:b/>
        </w:rPr>
      </w:pPr>
      <w:r w:rsidRPr="00AF615E">
        <w:rPr>
          <w:rFonts w:ascii="Bookman Old Style" w:hAnsi="Bookman Old Style"/>
          <w:b/>
        </w:rPr>
        <w:t>Klauzula niezawiadomienia w terminie o szkodzie - klauzula obligatoryjna</w:t>
      </w:r>
    </w:p>
    <w:p w14:paraId="051FC7E4" w14:textId="77777777" w:rsidR="00A52470" w:rsidRPr="00AF615E" w:rsidRDefault="00A52470" w:rsidP="00A52470">
      <w:pPr>
        <w:spacing w:line="360" w:lineRule="auto"/>
        <w:rPr>
          <w:rFonts w:ascii="Bookman Old Style" w:hAnsi="Bookman Old Style" w:cs="Tahoma"/>
        </w:rPr>
      </w:pPr>
      <w:r w:rsidRPr="00AF615E">
        <w:rPr>
          <w:rFonts w:ascii="Bookman Old Style" w:hAnsi="Bookman Old Style" w:cs="Tahoma"/>
        </w:rPr>
        <w:t>Z zachowaniem pozostałych, niezmienionych niniejszą klauzulą postanowień umowy ubezpieczenia strony uzgodniły, że:</w:t>
      </w:r>
    </w:p>
    <w:p w14:paraId="2F44240F"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Niezawiadomienie Ubezpieczyciela w terminie o szkodzie lub roszczeniu osoby poszkodowanej nie ma zastosowania, chyba że niezawiadomienie w terminie przyczyniło się do zwiększenia szkody oraz uniemożliwiło Ubezpieczycielowi ustalenie okoliczności  lub skutków szkody. </w:t>
      </w:r>
    </w:p>
    <w:p w14:paraId="6428300F" w14:textId="77777777" w:rsidR="00A52470" w:rsidRPr="00AF615E" w:rsidRDefault="00A52470" w:rsidP="000C5013">
      <w:pPr>
        <w:pStyle w:val="Akapitzlist"/>
        <w:numPr>
          <w:ilvl w:val="0"/>
          <w:numId w:val="30"/>
        </w:numPr>
        <w:spacing w:line="360" w:lineRule="auto"/>
        <w:ind w:left="284" w:hanging="357"/>
        <w:jc w:val="both"/>
        <w:rPr>
          <w:rFonts w:ascii="Bookman Old Style" w:hAnsi="Bookman Old Style" w:cs="Tahoma"/>
          <w:b/>
        </w:rPr>
      </w:pPr>
      <w:r w:rsidRPr="00AF615E">
        <w:rPr>
          <w:rFonts w:ascii="Bookman Old Style" w:hAnsi="Bookman Old Style" w:cs="Tahoma"/>
          <w:b/>
        </w:rPr>
        <w:t>Klauzula szkody całkowitej - klauzula obligatoryjna</w:t>
      </w:r>
    </w:p>
    <w:p w14:paraId="74C89CC4"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umowy ubezpieczenia przyjmuje się, że każda szkoda, w której koszty naprawy uszkodzonego mienia szacunkowo przekraczają 70 % jego wartości ubezpieczeniowej traktowana będzie jako szkoda całkowita. </w:t>
      </w:r>
    </w:p>
    <w:p w14:paraId="4F330BEE"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W przypadku szkody całkowitej ubezpieczyciel każdorazowo  udzieli aktywnej pomocy </w:t>
      </w:r>
      <w:r w:rsidRPr="00AF615E">
        <w:rPr>
          <w:rFonts w:ascii="Bookman Old Style" w:hAnsi="Bookman Old Style" w:cs="Tahoma"/>
        </w:rPr>
        <w:br/>
        <w:t>w zagospodarowaniu pozostałości uszkodzonego mienia.</w:t>
      </w:r>
    </w:p>
    <w:p w14:paraId="745D85B2"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w:t>
      </w:r>
      <w:r w:rsidRPr="00AF615E">
        <w:rPr>
          <w:rFonts w:ascii="Bookman Old Style" w:hAnsi="Bookman Old Style" w:cs="Tahoma"/>
          <w:b/>
        </w:rPr>
        <w:t>:</w:t>
      </w:r>
      <w:r w:rsidRPr="00AF615E">
        <w:rPr>
          <w:rFonts w:ascii="Bookman Old Style" w:hAnsi="Bookman Old Style" w:cs="Tahoma"/>
        </w:rPr>
        <w:t xml:space="preserve"> ubezpieczenia komunikacyjne AC. </w:t>
      </w:r>
    </w:p>
    <w:p w14:paraId="42DEEE82" w14:textId="77777777" w:rsidR="00A52470" w:rsidRPr="00AF615E" w:rsidRDefault="00A52470" w:rsidP="00A52470">
      <w:pPr>
        <w:pStyle w:val="LucaCash"/>
        <w:numPr>
          <w:ilvl w:val="0"/>
          <w:numId w:val="30"/>
        </w:numPr>
        <w:ind w:left="470" w:hanging="357"/>
        <w:rPr>
          <w:rFonts w:ascii="Bookman Old Style" w:hAnsi="Bookman Old Style" w:cs="Tahoma"/>
          <w:sz w:val="22"/>
          <w:szCs w:val="22"/>
        </w:rPr>
      </w:pPr>
      <w:r w:rsidRPr="00AF615E">
        <w:rPr>
          <w:rFonts w:ascii="Bookman Old Style" w:hAnsi="Bookman Old Style" w:cs="Tahoma"/>
          <w:b/>
          <w:bCs/>
          <w:sz w:val="22"/>
          <w:szCs w:val="22"/>
        </w:rPr>
        <w:lastRenderedPageBreak/>
        <w:t>Klauzula zgłaszania szkód – klauzula obligatoryjna</w:t>
      </w:r>
    </w:p>
    <w:p w14:paraId="7D70B9FA"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 zmienionych niniejszą klauzulą, postanowień umowy ubezpieczenia strony uzgodniły, że:</w:t>
      </w:r>
    </w:p>
    <w:p w14:paraId="689BBA55"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W przypadku wystąpienia szkód objętych ochroną w ramach niniejszej umowy ubezpieczenia, Ubezpieczony zobowiązany jest dokonać zgłoszenia szkody do Ubezpieczyciela niezwłocznie, nie później jednak niż w ciągu  7 dni roboczych od daty powstania szkody lub podjęcia o niej wiadomości chyba, że ogólne warunki przewidują dłuższy termin na zgłoszenie szkody.  Jeżeli niedopełnienie terminu nie ma wpływu na zwiększenie rozmiaru szkody lub/i  nie wpływa na umożliwienie Ubezpieczycielowi ustalenia okoliczności i skutków wypadku w takim wypadku Ubezpieczyciel nie zmniejszy świadczenia z tytułu odszkodowania.</w:t>
      </w:r>
    </w:p>
    <w:p w14:paraId="39483B4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ubezpieczenia komunikacyjne.</w:t>
      </w:r>
    </w:p>
    <w:p w14:paraId="2317CC72" w14:textId="77777777" w:rsidR="00A52470" w:rsidRPr="00AF615E" w:rsidRDefault="00A52470" w:rsidP="00A52470">
      <w:pPr>
        <w:pStyle w:val="Akapitzlist"/>
        <w:tabs>
          <w:tab w:val="left" w:pos="284"/>
          <w:tab w:val="left" w:pos="1683"/>
        </w:tabs>
        <w:spacing w:line="360" w:lineRule="auto"/>
        <w:ind w:left="360"/>
        <w:jc w:val="both"/>
        <w:rPr>
          <w:rFonts w:ascii="Bookman Old Style" w:hAnsi="Bookman Old Style" w:cs="Tahoma"/>
          <w:b/>
          <w:bCs/>
        </w:rPr>
      </w:pPr>
    </w:p>
    <w:p w14:paraId="630AF23A" w14:textId="77777777" w:rsidR="00A52470" w:rsidRPr="00AF615E" w:rsidRDefault="00A52470"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Klauzula wyjaśnienia okoliczności szkody – klauzula obligatoryjna</w:t>
      </w:r>
    </w:p>
    <w:p w14:paraId="35FB797B"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zastrzeżeniem pozostałych nie zmienionych niniejszą klauzulą postanowień umowy ubezpieczenia, uzgadnia się że:</w:t>
      </w:r>
    </w:p>
    <w:p w14:paraId="0B70386E" w14:textId="77777777" w:rsidR="00A52470" w:rsidRPr="00AF615E" w:rsidRDefault="00A52470" w:rsidP="00A52470">
      <w:pPr>
        <w:pStyle w:val="Tekstpodstawowywcity3"/>
        <w:spacing w:line="360" w:lineRule="auto"/>
        <w:ind w:left="0"/>
        <w:rPr>
          <w:rFonts w:ascii="Bookman Old Style" w:hAnsi="Bookman Old Style" w:cs="Tahoma"/>
          <w:sz w:val="22"/>
          <w:szCs w:val="22"/>
        </w:rPr>
      </w:pPr>
      <w:r w:rsidRPr="00AF615E">
        <w:rPr>
          <w:rFonts w:ascii="Bookman Old Style" w:hAnsi="Bookman Old Style" w:cs="Tahoma"/>
          <w:sz w:val="22"/>
          <w:szCs w:val="22"/>
        </w:rPr>
        <w:t xml:space="preserve">Ubezpieczyciel jest zobowiązany do ustalenia i wyjaśnienia okoliczności szkody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i wypłacić należne odszkodowanie, zgodnie z ogólnie przyjętymi zasadami, bez konieczności oczekiwania na prawomocne postanowienie kończące postępowanie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w sprawie dotyczącej szkody. </w:t>
      </w:r>
    </w:p>
    <w:p w14:paraId="6B319825" w14:textId="77777777" w:rsidR="000C5013" w:rsidRDefault="000C5013" w:rsidP="00A52470">
      <w:pPr>
        <w:pStyle w:val="Tekstpodstawowy3"/>
        <w:spacing w:line="360" w:lineRule="auto"/>
        <w:rPr>
          <w:rFonts w:ascii="Bookman Old Style" w:hAnsi="Bookman Old Style"/>
          <w:sz w:val="22"/>
          <w:szCs w:val="22"/>
          <w:u w:val="single"/>
        </w:rPr>
      </w:pPr>
    </w:p>
    <w:p w14:paraId="68A6A884" w14:textId="77777777" w:rsidR="000C5013" w:rsidRDefault="000C5013" w:rsidP="00A52470">
      <w:pPr>
        <w:pStyle w:val="Tekstpodstawowy3"/>
        <w:spacing w:line="360" w:lineRule="auto"/>
        <w:rPr>
          <w:rFonts w:ascii="Bookman Old Style" w:hAnsi="Bookman Old Style"/>
          <w:sz w:val="22"/>
          <w:szCs w:val="22"/>
          <w:u w:val="single"/>
        </w:rPr>
      </w:pPr>
    </w:p>
    <w:p w14:paraId="5C9BD181" w14:textId="77777777" w:rsidR="00A52470" w:rsidRPr="00AF615E" w:rsidRDefault="00A52470" w:rsidP="00A52470">
      <w:pPr>
        <w:pStyle w:val="Tekstpodstawowy3"/>
        <w:spacing w:line="360" w:lineRule="auto"/>
        <w:rPr>
          <w:rFonts w:ascii="Bookman Old Style" w:hAnsi="Bookman Old Style"/>
          <w:sz w:val="22"/>
          <w:szCs w:val="22"/>
          <w:u w:val="single"/>
        </w:rPr>
      </w:pPr>
      <w:r w:rsidRPr="00AF615E">
        <w:rPr>
          <w:rFonts w:ascii="Bookman Old Style" w:hAnsi="Bookman Old Style"/>
          <w:sz w:val="22"/>
          <w:szCs w:val="22"/>
          <w:u w:val="single"/>
        </w:rPr>
        <w:t xml:space="preserve">Załączniki </w:t>
      </w:r>
      <w:r w:rsidRPr="00AF615E">
        <w:rPr>
          <w:rFonts w:ascii="Bookman Old Style" w:hAnsi="Bookman Old Style"/>
          <w:sz w:val="22"/>
          <w:szCs w:val="22"/>
          <w:u w:val="single"/>
          <w:lang w:val="pl-PL"/>
        </w:rPr>
        <w:t xml:space="preserve">do </w:t>
      </w:r>
      <w:r w:rsidR="0078710A" w:rsidRPr="00AF615E">
        <w:rPr>
          <w:rFonts w:ascii="Bookman Old Style" w:hAnsi="Bookman Old Style"/>
          <w:sz w:val="22"/>
          <w:szCs w:val="22"/>
          <w:u w:val="single"/>
          <w:lang w:val="pl-PL"/>
        </w:rPr>
        <w:t xml:space="preserve">Opisu </w:t>
      </w:r>
      <w:r w:rsidRPr="00AF615E">
        <w:rPr>
          <w:rFonts w:ascii="Bookman Old Style" w:hAnsi="Bookman Old Style"/>
          <w:sz w:val="22"/>
          <w:szCs w:val="22"/>
          <w:u w:val="single"/>
        </w:rPr>
        <w:t>przedmiotu zamówienia</w:t>
      </w:r>
    </w:p>
    <w:p w14:paraId="60C11DE0" w14:textId="77777777" w:rsidR="0078710A" w:rsidRPr="00BF5101" w:rsidRDefault="00A52470" w:rsidP="000C5013">
      <w:pPr>
        <w:pStyle w:val="Tekstpodstawowy3"/>
        <w:spacing w:after="0"/>
        <w:rPr>
          <w:rFonts w:ascii="Bookman Old Style" w:hAnsi="Bookman Old Style"/>
          <w:sz w:val="18"/>
          <w:szCs w:val="18"/>
          <w:lang w:val="pl-PL"/>
        </w:rPr>
      </w:pPr>
      <w:r w:rsidRPr="000C5013">
        <w:rPr>
          <w:rFonts w:ascii="Bookman Old Style" w:hAnsi="Bookman Old Style"/>
          <w:sz w:val="18"/>
          <w:szCs w:val="18"/>
        </w:rPr>
        <w:t xml:space="preserve">Załącznik nr </w:t>
      </w:r>
      <w:r w:rsidRPr="000C5013">
        <w:rPr>
          <w:rFonts w:ascii="Bookman Old Style" w:hAnsi="Bookman Old Style"/>
          <w:sz w:val="18"/>
          <w:szCs w:val="18"/>
          <w:lang w:val="pl-PL"/>
        </w:rPr>
        <w:t>1</w:t>
      </w:r>
      <w:r w:rsidRPr="000C5013">
        <w:rPr>
          <w:rFonts w:ascii="Bookman Old Style" w:hAnsi="Bookman Old Style"/>
          <w:sz w:val="18"/>
          <w:szCs w:val="18"/>
        </w:rPr>
        <w:t xml:space="preserve"> do OPZ– zestawienie floty pojazdów z podziałem na Ubezpieczonych</w:t>
      </w:r>
      <w:r w:rsidR="00BF5101">
        <w:rPr>
          <w:rFonts w:ascii="Bookman Old Style" w:hAnsi="Bookman Old Style"/>
          <w:sz w:val="18"/>
          <w:szCs w:val="18"/>
          <w:lang w:val="pl-PL"/>
        </w:rPr>
        <w:t xml:space="preserve"> (załącznik dostępny dla zainteresowanych na wniosek mailowy wysłany na adres </w:t>
      </w:r>
      <w:hyperlink r:id="rId5" w:history="1">
        <w:r w:rsidR="00BF5101" w:rsidRPr="00F147D8">
          <w:rPr>
            <w:rStyle w:val="Hipercze"/>
            <w:rFonts w:ascii="Bookman Old Style" w:hAnsi="Bookman Old Style"/>
            <w:sz w:val="18"/>
            <w:szCs w:val="18"/>
            <w:lang w:val="pl-PL"/>
          </w:rPr>
          <w:t>marek.nestorowicz@nordpartner.pl</w:t>
        </w:r>
      </w:hyperlink>
      <w:r w:rsidR="00BF5101">
        <w:rPr>
          <w:rFonts w:ascii="Bookman Old Style" w:hAnsi="Bookman Old Style"/>
          <w:sz w:val="18"/>
          <w:szCs w:val="18"/>
          <w:lang w:val="pl-PL"/>
        </w:rPr>
        <w:t xml:space="preserve"> – kontakt telefoniczny 609061207)</w:t>
      </w:r>
    </w:p>
    <w:p w14:paraId="6BA3F64F" w14:textId="77777777" w:rsidR="00A52470" w:rsidRPr="000C5013" w:rsidRDefault="00A52470" w:rsidP="000C5013">
      <w:pPr>
        <w:pStyle w:val="Tekstpodstawowy3"/>
        <w:spacing w:after="0"/>
        <w:rPr>
          <w:rFonts w:ascii="Bookman Old Style" w:hAnsi="Bookman Old Style"/>
          <w:sz w:val="18"/>
          <w:szCs w:val="18"/>
          <w:lang w:val="pl-PL"/>
        </w:rPr>
      </w:pPr>
    </w:p>
    <w:p w14:paraId="0C2D3009" w14:textId="77777777" w:rsidR="00283CAC" w:rsidRPr="00AF615E" w:rsidRDefault="00283CAC">
      <w:pPr>
        <w:rPr>
          <w:rFonts w:ascii="Bookman Old Style" w:hAnsi="Bookman Old Style"/>
        </w:rPr>
      </w:pPr>
    </w:p>
    <w:sectPr w:rsidR="00283CAC" w:rsidRPr="00AF61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2DD"/>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7E4575E"/>
    <w:multiLevelType w:val="hybridMultilevel"/>
    <w:tmpl w:val="0C66E4C0"/>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A7606CC"/>
    <w:multiLevelType w:val="hybridMultilevel"/>
    <w:tmpl w:val="4F5C0A2A"/>
    <w:lvl w:ilvl="0" w:tplc="04150017">
      <w:start w:val="1"/>
      <w:numFmt w:val="lowerLetter"/>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F927C3B"/>
    <w:multiLevelType w:val="hybridMultilevel"/>
    <w:tmpl w:val="126CFD06"/>
    <w:lvl w:ilvl="0" w:tplc="04150011">
      <w:start w:val="1"/>
      <w:numFmt w:val="decimal"/>
      <w:lvlText w:val="%1)"/>
      <w:lvlJc w:val="left"/>
      <w:pPr>
        <w:tabs>
          <w:tab w:val="num" w:pos="721"/>
        </w:tabs>
        <w:ind w:left="721" w:hanging="360"/>
      </w:pPr>
    </w:lvl>
    <w:lvl w:ilvl="1" w:tplc="04150019">
      <w:start w:val="1"/>
      <w:numFmt w:val="lowerLetter"/>
      <w:lvlText w:val="%2."/>
      <w:lvlJc w:val="left"/>
      <w:pPr>
        <w:tabs>
          <w:tab w:val="num" w:pos="1441"/>
        </w:tabs>
        <w:ind w:left="1441" w:hanging="360"/>
      </w:pPr>
    </w:lvl>
    <w:lvl w:ilvl="2" w:tplc="0415001B">
      <w:start w:val="1"/>
      <w:numFmt w:val="lowerRoman"/>
      <w:lvlText w:val="%3."/>
      <w:lvlJc w:val="right"/>
      <w:pPr>
        <w:tabs>
          <w:tab w:val="num" w:pos="2161"/>
        </w:tabs>
        <w:ind w:left="2161" w:hanging="180"/>
      </w:pPr>
    </w:lvl>
    <w:lvl w:ilvl="3" w:tplc="0415000F">
      <w:start w:val="1"/>
      <w:numFmt w:val="decimal"/>
      <w:lvlText w:val="%4."/>
      <w:lvlJc w:val="left"/>
      <w:pPr>
        <w:tabs>
          <w:tab w:val="num" w:pos="2881"/>
        </w:tabs>
        <w:ind w:left="2881" w:hanging="360"/>
      </w:pPr>
    </w:lvl>
    <w:lvl w:ilvl="4" w:tplc="04150019">
      <w:start w:val="1"/>
      <w:numFmt w:val="lowerLetter"/>
      <w:lvlText w:val="%5."/>
      <w:lvlJc w:val="left"/>
      <w:pPr>
        <w:tabs>
          <w:tab w:val="num" w:pos="3601"/>
        </w:tabs>
        <w:ind w:left="3601" w:hanging="360"/>
      </w:pPr>
    </w:lvl>
    <w:lvl w:ilvl="5" w:tplc="0415001B">
      <w:start w:val="1"/>
      <w:numFmt w:val="lowerRoman"/>
      <w:lvlText w:val="%6."/>
      <w:lvlJc w:val="right"/>
      <w:pPr>
        <w:tabs>
          <w:tab w:val="num" w:pos="4321"/>
        </w:tabs>
        <w:ind w:left="4321" w:hanging="180"/>
      </w:pPr>
    </w:lvl>
    <w:lvl w:ilvl="6" w:tplc="0415000F">
      <w:start w:val="1"/>
      <w:numFmt w:val="decimal"/>
      <w:lvlText w:val="%7."/>
      <w:lvlJc w:val="left"/>
      <w:pPr>
        <w:tabs>
          <w:tab w:val="num" w:pos="5041"/>
        </w:tabs>
        <w:ind w:left="5041" w:hanging="360"/>
      </w:pPr>
    </w:lvl>
    <w:lvl w:ilvl="7" w:tplc="04150019">
      <w:start w:val="1"/>
      <w:numFmt w:val="lowerLetter"/>
      <w:lvlText w:val="%8."/>
      <w:lvlJc w:val="left"/>
      <w:pPr>
        <w:tabs>
          <w:tab w:val="num" w:pos="5761"/>
        </w:tabs>
        <w:ind w:left="5761" w:hanging="360"/>
      </w:pPr>
    </w:lvl>
    <w:lvl w:ilvl="8" w:tplc="0415001B">
      <w:start w:val="1"/>
      <w:numFmt w:val="lowerRoman"/>
      <w:lvlText w:val="%9."/>
      <w:lvlJc w:val="right"/>
      <w:pPr>
        <w:tabs>
          <w:tab w:val="num" w:pos="6481"/>
        </w:tabs>
        <w:ind w:left="6481" w:hanging="180"/>
      </w:pPr>
    </w:lvl>
  </w:abstractNum>
  <w:abstractNum w:abstractNumId="4" w15:restartNumberingAfterBreak="0">
    <w:nsid w:val="14DF6494"/>
    <w:multiLevelType w:val="multilevel"/>
    <w:tmpl w:val="032C2776"/>
    <w:lvl w:ilvl="0">
      <w:start w:val="1"/>
      <w:numFmt w:val="decimal"/>
      <w:lvlText w:val="%1)"/>
      <w:lvlJc w:val="left"/>
      <w:pPr>
        <w:tabs>
          <w:tab w:val="num" w:pos="720"/>
        </w:tabs>
        <w:ind w:left="720" w:hanging="360"/>
      </w:pPr>
      <w:rPr>
        <w:rFonts w:ascii="Bookman Old Style" w:eastAsia="Times New Roman" w:hAnsi="Bookman Old Style" w:cs="Tahoma"/>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7832305"/>
    <w:multiLevelType w:val="hybridMultilevel"/>
    <w:tmpl w:val="7A14B7F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A4469F6"/>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6F64FC"/>
    <w:multiLevelType w:val="hybridMultilevel"/>
    <w:tmpl w:val="7C3EB6CA"/>
    <w:lvl w:ilvl="0" w:tplc="C2CE04B8">
      <w:start w:val="1"/>
      <w:numFmt w:val="decimal"/>
      <w:lvlText w:val="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8" w15:restartNumberingAfterBreak="0">
    <w:nsid w:val="270E6DDE"/>
    <w:multiLevelType w:val="hybridMultilevel"/>
    <w:tmpl w:val="7DBACBC4"/>
    <w:lvl w:ilvl="0" w:tplc="D98A356C">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28A34171"/>
    <w:multiLevelType w:val="hybridMultilevel"/>
    <w:tmpl w:val="CBA078CE"/>
    <w:lvl w:ilvl="0" w:tplc="DA687466">
      <w:start w:val="1"/>
      <w:numFmt w:val="decimal"/>
      <w:lvlText w:val="II.%1."/>
      <w:lvlJc w:val="left"/>
      <w:pPr>
        <w:ind w:left="473"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E385AB9"/>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4375EE1"/>
    <w:multiLevelType w:val="multilevel"/>
    <w:tmpl w:val="253231C4"/>
    <w:lvl w:ilvl="0">
      <w:start w:val="2"/>
      <w:numFmt w:val="upperRoman"/>
      <w:suff w:val="space"/>
      <w:lvlText w:val="%1."/>
      <w:lvlJc w:val="left"/>
      <w:pPr>
        <w:ind w:left="0" w:firstLine="0"/>
      </w:pPr>
      <w:rPr>
        <w:b/>
        <w:color w:val="auto"/>
      </w:r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12" w15:restartNumberingAfterBreak="0">
    <w:nsid w:val="37A97DAB"/>
    <w:multiLevelType w:val="hybridMultilevel"/>
    <w:tmpl w:val="17EE4ADE"/>
    <w:lvl w:ilvl="0" w:tplc="BFE0A9AC">
      <w:start w:val="1"/>
      <w:numFmt w:val="lowerLetter"/>
      <w:lvlText w:val="%1)"/>
      <w:lvlJc w:val="left"/>
      <w:pPr>
        <w:ind w:left="833" w:hanging="360"/>
      </w:pPr>
      <w:rPr>
        <w:rFonts w:hint="default"/>
        <w:b/>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 w15:restartNumberingAfterBreak="0">
    <w:nsid w:val="39C85DB9"/>
    <w:multiLevelType w:val="hybridMultilevel"/>
    <w:tmpl w:val="678AB038"/>
    <w:lvl w:ilvl="0" w:tplc="DF1277E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F34140"/>
    <w:multiLevelType w:val="hybridMultilevel"/>
    <w:tmpl w:val="AEC64D34"/>
    <w:lvl w:ilvl="0" w:tplc="8D266144">
      <w:start w:val="1"/>
      <w:numFmt w:val="lowerLetter"/>
      <w:lvlText w:val="%1)"/>
      <w:lvlJc w:val="left"/>
      <w:pPr>
        <w:tabs>
          <w:tab w:val="num" w:pos="720"/>
        </w:tabs>
        <w:ind w:left="720" w:hanging="360"/>
      </w:pPr>
      <w:rPr>
        <w:rFonts w:cs="Times New Roman"/>
        <w:strike w:val="0"/>
        <w:dstrike w:val="0"/>
        <w:sz w:val="22"/>
        <w:szCs w:val="22"/>
        <w:u w:val="none"/>
        <w:effect w:val="none"/>
      </w:rPr>
    </w:lvl>
    <w:lvl w:ilvl="1" w:tplc="47446614">
      <w:start w:val="1"/>
      <w:numFmt w:val="lowerRoman"/>
      <w:lvlText w:val="%2."/>
      <w:lvlJc w:val="left"/>
      <w:pPr>
        <w:tabs>
          <w:tab w:val="num" w:pos="1440"/>
        </w:tabs>
        <w:ind w:left="1440" w:hanging="360"/>
      </w:pPr>
      <w:rPr>
        <w:rFonts w:ascii="Calibri" w:eastAsia="Times New Roman" w:hAnsi="Calibri" w:cs="Tahoma"/>
        <w:strike w:val="0"/>
        <w:dstrike w:val="0"/>
        <w:sz w:val="20"/>
        <w:szCs w:val="20"/>
        <w:u w:val="none"/>
        <w:effect w:val="none"/>
      </w:rPr>
    </w:lvl>
    <w:lvl w:ilvl="2" w:tplc="58EEFD3A">
      <w:start w:val="1"/>
      <w:numFmt w:val="decimal"/>
      <w:lvlText w:val="%3)"/>
      <w:lvlJc w:val="left"/>
      <w:pPr>
        <w:tabs>
          <w:tab w:val="num" w:pos="567"/>
        </w:tabs>
        <w:ind w:left="567" w:hanging="207"/>
      </w:pPr>
      <w:rPr>
        <w:rFonts w:ascii="Calibri" w:eastAsia="Times New Roman" w:hAnsi="Calibri" w:cs="Tahoma" w:hint="default"/>
        <w:strike w:val="0"/>
        <w:dstrike w:val="0"/>
        <w:sz w:val="22"/>
        <w:szCs w:val="22"/>
        <w:u w:val="none"/>
        <w:effect w:val="none"/>
      </w:rPr>
    </w:lvl>
    <w:lvl w:ilvl="3" w:tplc="0E845E5E">
      <w:start w:val="1"/>
      <w:numFmt w:val="bullet"/>
      <w:lvlText w:val=""/>
      <w:lvlJc w:val="left"/>
      <w:pPr>
        <w:tabs>
          <w:tab w:val="num" w:pos="880"/>
        </w:tabs>
        <w:ind w:left="880" w:hanging="340"/>
      </w:pPr>
      <w:rPr>
        <w:rFonts w:ascii="Wingdings" w:hAnsi="Wingdings" w:hint="default"/>
        <w:strike w:val="0"/>
        <w:dstrike w:val="0"/>
        <w:color w:val="auto"/>
        <w:sz w:val="22"/>
        <w:u w:val="none"/>
        <w:effect w:val="none"/>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472E663D"/>
    <w:multiLevelType w:val="hybridMultilevel"/>
    <w:tmpl w:val="9E081080"/>
    <w:lvl w:ilvl="0" w:tplc="AB509806">
      <w:start w:val="2"/>
      <w:numFmt w:val="decimal"/>
      <w:suff w:val="space"/>
      <w:lvlText w:val="III.%1."/>
      <w:lvlJc w:val="left"/>
      <w:pPr>
        <w:ind w:left="2407" w:hanging="2294"/>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E714A1"/>
    <w:multiLevelType w:val="hybridMultilevel"/>
    <w:tmpl w:val="FCDE9A1C"/>
    <w:lvl w:ilvl="0" w:tplc="9748161A">
      <w:start w:val="1"/>
      <w:numFmt w:val="decimal"/>
      <w:lvlText w:val="I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7" w15:restartNumberingAfterBreak="0">
    <w:nsid w:val="4A7237D9"/>
    <w:multiLevelType w:val="hybridMultilevel"/>
    <w:tmpl w:val="47AA9E8A"/>
    <w:lvl w:ilvl="0" w:tplc="890AA72E">
      <w:start w:val="1"/>
      <w:numFmt w:val="lowerLetter"/>
      <w:lvlText w:val="%1)"/>
      <w:lvlJc w:val="left"/>
      <w:pPr>
        <w:ind w:left="72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532E0"/>
    <w:multiLevelType w:val="hybridMultilevel"/>
    <w:tmpl w:val="EEB2D78E"/>
    <w:lvl w:ilvl="0" w:tplc="0456A18E">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D190BEA"/>
    <w:multiLevelType w:val="hybridMultilevel"/>
    <w:tmpl w:val="5726C1D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DF272BC"/>
    <w:multiLevelType w:val="hybridMultilevel"/>
    <w:tmpl w:val="7568A884"/>
    <w:lvl w:ilvl="0" w:tplc="04522B6E">
      <w:start w:val="1"/>
      <w:numFmt w:val="decimal"/>
      <w:suff w:val="space"/>
      <w:lvlText w:val="%1)"/>
      <w:lvlJc w:val="left"/>
      <w:pPr>
        <w:ind w:left="72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5E790961"/>
    <w:multiLevelType w:val="singleLevel"/>
    <w:tmpl w:val="17FA3BBC"/>
    <w:lvl w:ilvl="0">
      <w:start w:val="1"/>
      <w:numFmt w:val="decimal"/>
      <w:lvlText w:val="%1)"/>
      <w:lvlJc w:val="left"/>
      <w:pPr>
        <w:tabs>
          <w:tab w:val="num" w:pos="360"/>
        </w:tabs>
        <w:ind w:left="360" w:hanging="360"/>
      </w:pPr>
      <w:rPr>
        <w:rFonts w:ascii="Calibri" w:eastAsia="Times New Roman" w:hAnsi="Calibri" w:cs="Tahoma" w:hint="default"/>
        <w:b w:val="0"/>
      </w:rPr>
    </w:lvl>
  </w:abstractNum>
  <w:abstractNum w:abstractNumId="22" w15:restartNumberingAfterBreak="0">
    <w:nsid w:val="5F0C2D0C"/>
    <w:multiLevelType w:val="hybridMultilevel"/>
    <w:tmpl w:val="BB4605C8"/>
    <w:lvl w:ilvl="0" w:tplc="A336D28C">
      <w:start w:val="1"/>
      <w:numFmt w:val="decimal"/>
      <w:suff w:val="space"/>
      <w:lvlText w:val="I.%1."/>
      <w:lvlJc w:val="left"/>
      <w:pPr>
        <w:ind w:left="927"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F2B4601"/>
    <w:multiLevelType w:val="hybridMultilevel"/>
    <w:tmpl w:val="12548562"/>
    <w:lvl w:ilvl="0" w:tplc="A124679E">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4" w15:restartNumberingAfterBreak="0">
    <w:nsid w:val="5FF21C9A"/>
    <w:multiLevelType w:val="hybridMultilevel"/>
    <w:tmpl w:val="ED1E5D8C"/>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65BA6572"/>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7D22E56"/>
    <w:multiLevelType w:val="multilevel"/>
    <w:tmpl w:val="CED8F4B0"/>
    <w:lvl w:ilvl="0">
      <w:start w:val="1"/>
      <w:numFmt w:val="upperRoman"/>
      <w:suff w:val="space"/>
      <w:lvlText w:val="%1."/>
      <w:lvlJc w:val="left"/>
      <w:pPr>
        <w:ind w:left="1080" w:hanging="720"/>
      </w:p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27" w15:restartNumberingAfterBreak="0">
    <w:nsid w:val="68294301"/>
    <w:multiLevelType w:val="hybridMultilevel"/>
    <w:tmpl w:val="2F76501C"/>
    <w:lvl w:ilvl="0" w:tplc="0826FC82">
      <w:start w:val="1"/>
      <w:numFmt w:val="decimal"/>
      <w:lvlText w:val="%1)"/>
      <w:lvlJc w:val="left"/>
      <w:pPr>
        <w:tabs>
          <w:tab w:val="num" w:pos="757"/>
        </w:tabs>
        <w:ind w:left="737" w:hanging="340"/>
      </w:pPr>
      <w:rPr>
        <w:rFonts w:ascii="Calibri" w:eastAsia="Times New Roman" w:hAnsi="Calibri" w:cs="Tahoma" w:hint="default"/>
        <w:i w:val="0"/>
        <w:strike w:val="0"/>
        <w:dstrike w:val="0"/>
        <w:color w:val="auto"/>
        <w:u w:val="none"/>
        <w:effect w:val="none"/>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3D6960"/>
    <w:multiLevelType w:val="hybridMultilevel"/>
    <w:tmpl w:val="A31A8830"/>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FE607C1"/>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70650F92"/>
    <w:multiLevelType w:val="hybridMultilevel"/>
    <w:tmpl w:val="2FE86600"/>
    <w:lvl w:ilvl="0" w:tplc="CF0A6F0E">
      <w:start w:val="1"/>
      <w:numFmt w:val="decimal"/>
      <w:lvlText w:val="III.%1."/>
      <w:lvlJc w:val="left"/>
      <w:pPr>
        <w:ind w:left="748" w:hanging="607"/>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2A15F30"/>
    <w:multiLevelType w:val="hybridMultilevel"/>
    <w:tmpl w:val="E774EEE4"/>
    <w:lvl w:ilvl="0" w:tplc="F2EE4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5FC241A"/>
    <w:multiLevelType w:val="hybridMultilevel"/>
    <w:tmpl w:val="DB527AD4"/>
    <w:lvl w:ilvl="0" w:tplc="84A674D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8773D4C"/>
    <w:multiLevelType w:val="hybridMultilevel"/>
    <w:tmpl w:val="19CAB204"/>
    <w:lvl w:ilvl="0" w:tplc="D75EDCA8">
      <w:start w:val="1"/>
      <w:numFmt w:val="lowerLetter"/>
      <w:lvlText w:val="%1."/>
      <w:lvlJc w:val="left"/>
      <w:pPr>
        <w:ind w:left="1068" w:hanging="360"/>
      </w:pPr>
      <w:rPr>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4" w15:restartNumberingAfterBreak="0">
    <w:nsid w:val="789841A3"/>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7E7806EC"/>
    <w:multiLevelType w:val="hybridMultilevel"/>
    <w:tmpl w:val="8A0082C8"/>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6" w15:restartNumberingAfterBreak="0">
    <w:nsid w:val="7FA06091"/>
    <w:multiLevelType w:val="hybridMultilevel"/>
    <w:tmpl w:val="0C7415A6"/>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lvlOverride w:ilvl="2"/>
    <w:lvlOverride w:ilvl="3"/>
    <w:lvlOverride w:ilvl="4"/>
    <w:lvlOverride w:ilvl="5"/>
    <w:lvlOverride w:ilvl="6"/>
    <w:lvlOverride w:ilvl="7"/>
    <w:lvlOverride w:ilvl="8"/>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7"/>
  </w:num>
  <w:num w:numId="35">
    <w:abstractNumId w:val="31"/>
  </w:num>
  <w:num w:numId="36">
    <w:abstractNumId w:val="1"/>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D87"/>
    <w:rsid w:val="00006FA5"/>
    <w:rsid w:val="00032534"/>
    <w:rsid w:val="00046D77"/>
    <w:rsid w:val="00072221"/>
    <w:rsid w:val="00072F5E"/>
    <w:rsid w:val="000C5013"/>
    <w:rsid w:val="000F6555"/>
    <w:rsid w:val="00111ECB"/>
    <w:rsid w:val="00151614"/>
    <w:rsid w:val="00164D87"/>
    <w:rsid w:val="0016516A"/>
    <w:rsid w:val="00193493"/>
    <w:rsid w:val="00283CAC"/>
    <w:rsid w:val="002C60A9"/>
    <w:rsid w:val="00340783"/>
    <w:rsid w:val="0039228E"/>
    <w:rsid w:val="00453BA1"/>
    <w:rsid w:val="00530C71"/>
    <w:rsid w:val="005F26F3"/>
    <w:rsid w:val="00606721"/>
    <w:rsid w:val="006762AD"/>
    <w:rsid w:val="006C343C"/>
    <w:rsid w:val="006C576D"/>
    <w:rsid w:val="00710B8D"/>
    <w:rsid w:val="00722F68"/>
    <w:rsid w:val="0078710A"/>
    <w:rsid w:val="008178A6"/>
    <w:rsid w:val="0083348F"/>
    <w:rsid w:val="00891E77"/>
    <w:rsid w:val="008B0D08"/>
    <w:rsid w:val="008B1811"/>
    <w:rsid w:val="00904CD2"/>
    <w:rsid w:val="009506CF"/>
    <w:rsid w:val="0095371B"/>
    <w:rsid w:val="00A52470"/>
    <w:rsid w:val="00AA62A0"/>
    <w:rsid w:val="00AA72C5"/>
    <w:rsid w:val="00AE3CCC"/>
    <w:rsid w:val="00AF615E"/>
    <w:rsid w:val="00B11535"/>
    <w:rsid w:val="00BF5101"/>
    <w:rsid w:val="00CC584D"/>
    <w:rsid w:val="00D126C4"/>
    <w:rsid w:val="00D16589"/>
    <w:rsid w:val="00D65F23"/>
    <w:rsid w:val="00D85F1E"/>
    <w:rsid w:val="00D86FDE"/>
    <w:rsid w:val="00D93972"/>
    <w:rsid w:val="00E15512"/>
    <w:rsid w:val="00EB615B"/>
    <w:rsid w:val="00EC75BC"/>
    <w:rsid w:val="00F312D9"/>
    <w:rsid w:val="00FD39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7E18"/>
  <w15:chartTrackingRefBased/>
  <w15:docId w15:val="{0706DBC9-EB75-4A43-9139-FA0CD459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2470"/>
    <w:pPr>
      <w:spacing w:after="200" w:line="276" w:lineRule="auto"/>
    </w:pPr>
    <w:rPr>
      <w:rFonts w:ascii="Calibri" w:eastAsia="Calibri" w:hAnsi="Calibri" w:cs="Times New Roman"/>
    </w:rPr>
  </w:style>
  <w:style w:type="paragraph" w:styleId="Nagwek1">
    <w:name w:val="heading 1"/>
    <w:aliases w:val="H1,1st level,I1,Chapter title,l1,l1+toc 1,Level 1,Level 11,Head 1,Head 11,Head 12,Head 111,Head 13,Head 112,Head 14,Head 113,Head 15,Head 114,Head 16,Head 115,Head 17,Head 116,Head 18,Head 117,Head 19,Head 118,Head 121,Head 1111"/>
    <w:basedOn w:val="Normalny"/>
    <w:next w:val="Normalny"/>
    <w:link w:val="Nagwek1Znak"/>
    <w:qFormat/>
    <w:rsid w:val="00A52470"/>
    <w:pPr>
      <w:keepNext/>
      <w:keepLines/>
      <w:spacing w:before="240" w:after="0"/>
      <w:outlineLvl w:val="0"/>
    </w:pPr>
    <w:rPr>
      <w:rFonts w:ascii="Cambria" w:eastAsia="Times New Roman" w:hAnsi="Cambria"/>
      <w:color w:val="365F91"/>
      <w:sz w:val="32"/>
      <w:szCs w:val="3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st level Znak,I1 Znak,Chapter title Znak,l1 Znak,l1+toc 1 Znak,Level 1 Znak,Level 11 Znak,Head 1 Znak,Head 11 Znak,Head 12 Znak,Head 111 Znak,Head 13 Znak,Head 112 Znak,Head 14 Znak,Head 113 Znak,Head 15 Znak,Head 114 Znak"/>
    <w:basedOn w:val="Domylnaczcionkaakapitu"/>
    <w:link w:val="Nagwek1"/>
    <w:rsid w:val="00A52470"/>
    <w:rPr>
      <w:rFonts w:ascii="Cambria" w:eastAsia="Times New Roman" w:hAnsi="Cambria" w:cs="Times New Roman"/>
      <w:color w:val="365F91"/>
      <w:sz w:val="32"/>
      <w:szCs w:val="32"/>
      <w:lang w:val="x-none" w:eastAsia="x-none"/>
    </w:rPr>
  </w:style>
  <w:style w:type="character" w:styleId="Hipercze">
    <w:name w:val="Hyperlink"/>
    <w:basedOn w:val="Domylnaczcionkaakapitu"/>
    <w:uiPriority w:val="99"/>
    <w:unhideWhenUsed/>
    <w:rsid w:val="00A52470"/>
    <w:rPr>
      <w:color w:val="0563C1" w:themeColor="hyperlink"/>
      <w:u w:val="singl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semiHidden/>
    <w:locked/>
    <w:rsid w:val="00A52470"/>
    <w:rPr>
      <w:rFonts w:ascii="Times New Roman" w:eastAsia="Times New Roman" w:hAnsi="Times New Roman" w:cs="Times New Roman"/>
      <w:kern w:val="16"/>
      <w:lang w:val="x-none" w:eastAsia="x-none"/>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semiHidden/>
    <w:unhideWhenUsed/>
    <w:rsid w:val="00A52470"/>
    <w:pPr>
      <w:tabs>
        <w:tab w:val="left" w:pos="8505"/>
        <w:tab w:val="left" w:pos="13608"/>
      </w:tabs>
      <w:spacing w:before="60" w:after="0" w:line="360" w:lineRule="auto"/>
      <w:ind w:firstLine="425"/>
      <w:jc w:val="both"/>
    </w:pPr>
    <w:rPr>
      <w:rFonts w:ascii="Times New Roman" w:eastAsia="Times New Roman" w:hAnsi="Times New Roman"/>
      <w:kern w:val="16"/>
      <w:lang w:val="x-none" w:eastAsia="x-none"/>
    </w:rPr>
  </w:style>
  <w:style w:type="character" w:customStyle="1" w:styleId="TekstprzypisudolnegoZnak1">
    <w:name w:val="Tekst przypisu dolnego Znak1"/>
    <w:basedOn w:val="Domylnaczcionkaakapitu"/>
    <w:uiPriority w:val="99"/>
    <w:semiHidden/>
    <w:rsid w:val="00A52470"/>
    <w:rPr>
      <w:rFonts w:ascii="Calibri" w:eastAsia="Calibri" w:hAnsi="Calibri" w:cs="Times New Roman"/>
      <w:sz w:val="20"/>
      <w:szCs w:val="20"/>
    </w:rPr>
  </w:style>
  <w:style w:type="paragraph" w:styleId="Tekstpodstawowy">
    <w:name w:val="Body Text"/>
    <w:basedOn w:val="Normalny"/>
    <w:link w:val="TekstpodstawowyZnak"/>
    <w:uiPriority w:val="99"/>
    <w:semiHidden/>
    <w:unhideWhenUsed/>
    <w:rsid w:val="00A52470"/>
    <w:pPr>
      <w:spacing w:after="120"/>
    </w:pPr>
  </w:style>
  <w:style w:type="character" w:customStyle="1" w:styleId="TekstpodstawowyZnak">
    <w:name w:val="Tekst podstawowy Znak"/>
    <w:basedOn w:val="Domylnaczcionkaakapitu"/>
    <w:link w:val="Tekstpodstawowy"/>
    <w:uiPriority w:val="99"/>
    <w:semiHidden/>
    <w:rsid w:val="00A52470"/>
    <w:rPr>
      <w:rFonts w:ascii="Calibri" w:eastAsia="Calibri" w:hAnsi="Calibri" w:cs="Times New Roman"/>
    </w:rPr>
  </w:style>
  <w:style w:type="character" w:customStyle="1" w:styleId="TekstpodstawowywcityZnak">
    <w:name w:val="Tekst podstawowy wcięty Znak"/>
    <w:aliases w:val="Znak Znak1 Znak,Tekst podstawowy wcięty Znak Znak1 Znak,Tekst podstawowy wcięty Znak1 Znak Znak1 Znak,Tekst podstawowy wcięty Znak Znak Znak Znak1 Znak,Znak Znak1 Znak Znak Znak Znak"/>
    <w:basedOn w:val="Domylnaczcionkaakapitu"/>
    <w:link w:val="Tekstpodstawowywcity"/>
    <w:uiPriority w:val="99"/>
    <w:semiHidden/>
    <w:locked/>
    <w:rsid w:val="00A52470"/>
  </w:style>
  <w:style w:type="paragraph" w:styleId="Tekstpodstawowywcity">
    <w:name w:val="Body Text Indent"/>
    <w:aliases w:val="Znak Znak1,Tekst podstawowy wcięty Znak Znak1,Tekst podstawowy wcięty Znak1 Znak Znak1,Tekst podstawowy wcięty Znak Znak Znak Znak1,Znak Znak1 Znak Znak Znak"/>
    <w:basedOn w:val="Normalny"/>
    <w:link w:val="TekstpodstawowywcityZnak"/>
    <w:uiPriority w:val="99"/>
    <w:semiHidden/>
    <w:unhideWhenUsed/>
    <w:rsid w:val="00A52470"/>
    <w:pPr>
      <w:spacing w:after="120"/>
      <w:ind w:left="283"/>
    </w:pPr>
    <w:rPr>
      <w:rFonts w:asciiTheme="minorHAnsi" w:eastAsiaTheme="minorHAnsi" w:hAnsiTheme="minorHAnsi" w:cstheme="minorBidi"/>
    </w:rPr>
  </w:style>
  <w:style w:type="character" w:customStyle="1" w:styleId="TekstpodstawowywcityZnak1">
    <w:name w:val="Tekst podstawowy wcięty Znak1"/>
    <w:basedOn w:val="Domylnaczcionkaakapitu"/>
    <w:uiPriority w:val="99"/>
    <w:semiHidden/>
    <w:rsid w:val="00A52470"/>
    <w:rPr>
      <w:rFonts w:ascii="Calibri" w:eastAsia="Calibri" w:hAnsi="Calibri" w:cs="Times New Roman"/>
    </w:rPr>
  </w:style>
  <w:style w:type="paragraph" w:styleId="Tekstpodstawowy3">
    <w:name w:val="Body Text 3"/>
    <w:basedOn w:val="Normalny"/>
    <w:link w:val="Tekstpodstawowy3Znak"/>
    <w:uiPriority w:val="99"/>
    <w:semiHidden/>
    <w:unhideWhenUsed/>
    <w:rsid w:val="00A52470"/>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semiHidden/>
    <w:rsid w:val="00A52470"/>
    <w:rPr>
      <w:rFonts w:ascii="Times New Roman" w:eastAsia="Times New Roman" w:hAnsi="Times New Roman" w:cs="Times New Roman"/>
      <w:sz w:val="16"/>
      <w:szCs w:val="16"/>
      <w:lang w:val="x-none" w:eastAsia="pl-PL"/>
    </w:rPr>
  </w:style>
  <w:style w:type="paragraph" w:styleId="Tekstpodstawowywcity3">
    <w:name w:val="Body Text Indent 3"/>
    <w:basedOn w:val="Normalny"/>
    <w:link w:val="Tekstpodstawowywcity3Znak"/>
    <w:uiPriority w:val="99"/>
    <w:semiHidden/>
    <w:unhideWhenUsed/>
    <w:rsid w:val="00A52470"/>
    <w:pPr>
      <w:spacing w:after="120" w:line="240" w:lineRule="auto"/>
      <w:ind w:left="283"/>
      <w:jc w:val="both"/>
    </w:pPr>
    <w:rPr>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A52470"/>
    <w:rPr>
      <w:rFonts w:ascii="Calibri" w:eastAsia="Calibri" w:hAnsi="Calibri" w:cs="Times New Roman"/>
      <w:sz w:val="16"/>
      <w:szCs w:val="16"/>
      <w:lang w:eastAsia="pl-PL"/>
    </w:rPr>
  </w:style>
  <w:style w:type="character" w:customStyle="1" w:styleId="AkapitzlistZnak">
    <w:name w:val="Akapit z listą Znak"/>
    <w:aliases w:val="Bullet Number Znak,lp1 Znak,List Paragraph2 Znak,ISCG Numerowanie Znak,lp11 Znak,List Paragraph11 Znak,Bullet 1 Znak,Use Case List Paragraph Znak,Body MS Bullet Znak,Podsis rysunku Znak,CW_Lista Znak,Preambuła Znak,SM-nagłówek2 Znak"/>
    <w:link w:val="Akapitzlist"/>
    <w:uiPriority w:val="34"/>
    <w:qFormat/>
    <w:locked/>
    <w:rsid w:val="00A52470"/>
    <w:rPr>
      <w:rFonts w:ascii="Times New Roman" w:eastAsia="Times New Roman" w:hAnsi="Times New Roman" w:cs="Times New Roman"/>
    </w:rPr>
  </w:style>
  <w:style w:type="paragraph" w:styleId="Akapitzlist">
    <w:name w:val="List Paragraph"/>
    <w:aliases w:val="Bullet Number,lp1,List Paragraph2,ISCG Numerowanie,lp11,List Paragraph11,Bullet 1,Use Case List Paragraph,Body MS Bullet,Podsis rysunku,CW_Lista,Preambuła,Lista - poziom 1,Tabela - naglowek,SM-nagłówek2,CP-UC,List Paragraph,Tytuły"/>
    <w:basedOn w:val="Normalny"/>
    <w:link w:val="AkapitzlistZnak"/>
    <w:uiPriority w:val="34"/>
    <w:qFormat/>
    <w:rsid w:val="00A52470"/>
    <w:pPr>
      <w:spacing w:after="160" w:line="256" w:lineRule="auto"/>
      <w:ind w:left="720"/>
      <w:contextualSpacing/>
    </w:pPr>
    <w:rPr>
      <w:rFonts w:ascii="Times New Roman" w:eastAsia="Times New Roman" w:hAnsi="Times New Roman"/>
    </w:rPr>
  </w:style>
  <w:style w:type="paragraph" w:customStyle="1" w:styleId="LucaCash">
    <w:name w:val="Luca&amp;Cash"/>
    <w:basedOn w:val="Normalny"/>
    <w:uiPriority w:val="99"/>
    <w:rsid w:val="00A52470"/>
    <w:pPr>
      <w:spacing w:after="0" w:line="360" w:lineRule="auto"/>
    </w:pPr>
    <w:rPr>
      <w:rFonts w:ascii="Arial Narrow" w:eastAsia="Times New Roman" w:hAnsi="Arial Narrow" w:cs="Arial Narrow"/>
      <w:sz w:val="24"/>
      <w:szCs w:val="24"/>
      <w:lang w:eastAsia="pl-PL"/>
    </w:rPr>
  </w:style>
  <w:style w:type="paragraph" w:customStyle="1" w:styleId="BodyTextIndent21">
    <w:name w:val="Body Text Indent 21"/>
    <w:basedOn w:val="Normalny"/>
    <w:uiPriority w:val="99"/>
    <w:rsid w:val="00A52470"/>
    <w:pPr>
      <w:spacing w:after="0" w:line="240" w:lineRule="auto"/>
      <w:ind w:left="284"/>
      <w:jc w:val="both"/>
    </w:pPr>
    <w:rPr>
      <w:rFonts w:ascii="Times New Roman" w:eastAsia="Times New Roman" w:hAnsi="Times New Roman"/>
      <w:lang w:eastAsia="pl-PL"/>
    </w:rPr>
  </w:style>
  <w:style w:type="paragraph" w:styleId="Tekstdymka">
    <w:name w:val="Balloon Text"/>
    <w:basedOn w:val="Normalny"/>
    <w:link w:val="TekstdymkaZnak"/>
    <w:uiPriority w:val="99"/>
    <w:semiHidden/>
    <w:unhideWhenUsed/>
    <w:rsid w:val="00D86F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F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4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ek.nestorowicz@nordpartner.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6143</Words>
  <Characters>36858</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Nestorowicz</dc:creator>
  <cp:keywords/>
  <dc:description/>
  <cp:lastModifiedBy>Malesza Artur</cp:lastModifiedBy>
  <cp:revision>5</cp:revision>
  <dcterms:created xsi:type="dcterms:W3CDTF">2021-09-14T13:52:00Z</dcterms:created>
  <dcterms:modified xsi:type="dcterms:W3CDTF">2021-09-14T14:00:00Z</dcterms:modified>
</cp:coreProperties>
</file>